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A3BA" w14:textId="77777777" w:rsidR="00543F33" w:rsidRPr="00714538" w:rsidRDefault="00543F33" w:rsidP="003B456D">
      <w:pPr>
        <w:pStyle w:val="Header"/>
        <w:jc w:val="center"/>
        <w:rPr>
          <w:rFonts w:cs="Arial"/>
          <w:sz w:val="48"/>
          <w:szCs w:val="48"/>
        </w:rPr>
      </w:pPr>
      <w:r w:rsidRPr="00714538">
        <w:rPr>
          <w:rFonts w:cs="Arial"/>
          <w:noProof/>
          <w:sz w:val="48"/>
          <w:szCs w:val="48"/>
          <w:lang w:eastAsia="en-GB"/>
        </w:rPr>
        <w:drawing>
          <wp:inline distT="0" distB="0" distL="0" distR="0" wp14:anchorId="2A50DEE8" wp14:editId="2C1B74B5">
            <wp:extent cx="1514475" cy="12192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4475" cy="1219200"/>
                    </a:xfrm>
                    <a:prstGeom prst="rect">
                      <a:avLst/>
                    </a:prstGeom>
                  </pic:spPr>
                </pic:pic>
              </a:graphicData>
            </a:graphic>
          </wp:inline>
        </w:drawing>
      </w:r>
    </w:p>
    <w:p w14:paraId="2E334090" w14:textId="77777777" w:rsidR="00714538" w:rsidRPr="00714538" w:rsidRDefault="00714538" w:rsidP="009C5A73">
      <w:pPr>
        <w:pStyle w:val="Header"/>
        <w:rPr>
          <w:rFonts w:cs="Arial"/>
          <w:sz w:val="48"/>
          <w:szCs w:val="48"/>
        </w:rPr>
      </w:pPr>
    </w:p>
    <w:p w14:paraId="44451C06" w14:textId="4D14044F" w:rsidR="00543F33" w:rsidRPr="00714538" w:rsidRDefault="00543F33" w:rsidP="003B456D">
      <w:pPr>
        <w:pStyle w:val="Header"/>
        <w:jc w:val="center"/>
        <w:rPr>
          <w:rFonts w:cs="Arial"/>
          <w:sz w:val="48"/>
          <w:szCs w:val="48"/>
        </w:rPr>
      </w:pPr>
      <w:r w:rsidRPr="00714538">
        <w:rPr>
          <w:rFonts w:cs="Arial"/>
          <w:sz w:val="48"/>
          <w:szCs w:val="48"/>
        </w:rPr>
        <w:t>Strategy 2030:</w:t>
      </w:r>
      <w:r w:rsidRPr="00714538">
        <w:rPr>
          <w:rFonts w:cs="Arial"/>
          <w:sz w:val="48"/>
          <w:szCs w:val="48"/>
        </w:rPr>
        <w:br/>
      </w:r>
      <w:r w:rsidR="00AB4DEC">
        <w:rPr>
          <w:rFonts w:cs="Arial"/>
          <w:sz w:val="48"/>
          <w:szCs w:val="48"/>
        </w:rPr>
        <w:t>Civic Engagement Strategy</w:t>
      </w:r>
    </w:p>
    <w:p w14:paraId="0D24C095" w14:textId="77777777" w:rsidR="002A70BA" w:rsidRPr="006C653D" w:rsidRDefault="002A70BA" w:rsidP="009C5A7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47"/>
        <w:gridCol w:w="5003"/>
        <w:gridCol w:w="905"/>
        <w:gridCol w:w="1173"/>
      </w:tblGrid>
      <w:tr w:rsidR="005608BE" w:rsidRPr="005711A4" w14:paraId="6FA4D1C1" w14:textId="77777777" w:rsidTr="00D44348">
        <w:tc>
          <w:tcPr>
            <w:tcW w:w="9628" w:type="dxa"/>
            <w:gridSpan w:val="4"/>
            <w:tcBorders>
              <w:bottom w:val="single" w:sz="4" w:space="0" w:color="auto"/>
            </w:tcBorders>
            <w:shd w:val="clear" w:color="auto" w:fill="000000" w:themeFill="text1"/>
            <w:vAlign w:val="center"/>
          </w:tcPr>
          <w:p w14:paraId="7B045103" w14:textId="494969AD" w:rsidR="005608BE" w:rsidRPr="005711A4" w:rsidRDefault="005608BE" w:rsidP="009C5A73">
            <w:pPr>
              <w:pStyle w:val="ListParagraph"/>
              <w:numPr>
                <w:ilvl w:val="0"/>
                <w:numId w:val="2"/>
              </w:numPr>
              <w:spacing w:after="120"/>
              <w:rPr>
                <w:rFonts w:cs="Arial"/>
                <w:b/>
                <w:sz w:val="20"/>
                <w:szCs w:val="20"/>
                <w:u w:val="single"/>
              </w:rPr>
            </w:pPr>
            <w:r w:rsidRPr="005711A4">
              <w:rPr>
                <w:rFonts w:cs="Arial"/>
                <w:b/>
                <w:bCs/>
                <w:sz w:val="20"/>
                <w:szCs w:val="20"/>
              </w:rPr>
              <w:t>Alignment to Strategy 2030</w:t>
            </w:r>
          </w:p>
        </w:tc>
      </w:tr>
      <w:tr w:rsidR="00D42E0C" w:rsidRPr="005711A4" w14:paraId="7ADF883A" w14:textId="77777777" w:rsidTr="00487760">
        <w:tc>
          <w:tcPr>
            <w:tcW w:w="7550" w:type="dxa"/>
            <w:gridSpan w:val="2"/>
            <w:shd w:val="clear" w:color="auto" w:fill="FFFFFF"/>
          </w:tcPr>
          <w:p w14:paraId="6758795C" w14:textId="77777777" w:rsidR="00D42E0C" w:rsidRPr="005711A4" w:rsidRDefault="00D42E0C" w:rsidP="009C5A73">
            <w:pPr>
              <w:rPr>
                <w:rFonts w:cs="Arial"/>
                <w:sz w:val="20"/>
                <w:szCs w:val="20"/>
              </w:rPr>
            </w:pPr>
          </w:p>
        </w:tc>
        <w:tc>
          <w:tcPr>
            <w:tcW w:w="905" w:type="dxa"/>
            <w:shd w:val="clear" w:color="auto" w:fill="FFFFFF"/>
          </w:tcPr>
          <w:p w14:paraId="4834B7F5" w14:textId="1098ED2F" w:rsidR="00D42E0C" w:rsidRPr="005711A4" w:rsidRDefault="00D42E0C" w:rsidP="009C5A73">
            <w:pPr>
              <w:rPr>
                <w:rFonts w:cs="Arial"/>
                <w:sz w:val="20"/>
                <w:szCs w:val="20"/>
              </w:rPr>
            </w:pPr>
            <w:r w:rsidRPr="005711A4">
              <w:rPr>
                <w:rFonts w:cs="Arial"/>
                <w:sz w:val="20"/>
                <w:szCs w:val="20"/>
              </w:rPr>
              <w:t>Primary</w:t>
            </w:r>
          </w:p>
        </w:tc>
        <w:tc>
          <w:tcPr>
            <w:tcW w:w="1173" w:type="dxa"/>
            <w:shd w:val="clear" w:color="auto" w:fill="FFFFFF"/>
          </w:tcPr>
          <w:p w14:paraId="2981FD4F" w14:textId="62F4D70D" w:rsidR="00D42E0C" w:rsidRPr="005711A4" w:rsidRDefault="00D42E0C" w:rsidP="009C5A73">
            <w:pPr>
              <w:rPr>
                <w:rFonts w:cs="Arial"/>
                <w:sz w:val="20"/>
                <w:szCs w:val="20"/>
              </w:rPr>
            </w:pPr>
            <w:r w:rsidRPr="005711A4">
              <w:rPr>
                <w:rFonts w:cs="Arial"/>
                <w:sz w:val="20"/>
                <w:szCs w:val="20"/>
              </w:rPr>
              <w:t>Secondary</w:t>
            </w:r>
          </w:p>
        </w:tc>
      </w:tr>
      <w:tr w:rsidR="006C653D" w:rsidRPr="005711A4" w14:paraId="757BA7EA" w14:textId="77777777" w:rsidTr="00487760">
        <w:tc>
          <w:tcPr>
            <w:tcW w:w="2547" w:type="dxa"/>
            <w:vMerge w:val="restart"/>
            <w:shd w:val="clear" w:color="auto" w:fill="BFBFBF" w:themeFill="background1" w:themeFillShade="BF"/>
          </w:tcPr>
          <w:p w14:paraId="724B63E4" w14:textId="19B3C6EE" w:rsidR="001930FA" w:rsidRPr="009835A6" w:rsidRDefault="00405A43" w:rsidP="009C5A73">
            <w:pPr>
              <w:rPr>
                <w:rFonts w:cs="Arial"/>
                <w:b/>
                <w:bCs/>
                <w:sz w:val="20"/>
                <w:szCs w:val="20"/>
              </w:rPr>
            </w:pPr>
            <w:r w:rsidRPr="005711A4">
              <w:rPr>
                <w:rFonts w:cs="Arial"/>
                <w:b/>
                <w:bCs/>
                <w:sz w:val="20"/>
                <w:szCs w:val="20"/>
              </w:rPr>
              <w:t>Strategic Pillars:</w:t>
            </w:r>
          </w:p>
        </w:tc>
        <w:tc>
          <w:tcPr>
            <w:tcW w:w="5003" w:type="dxa"/>
            <w:shd w:val="clear" w:color="auto" w:fill="FFFFFF"/>
          </w:tcPr>
          <w:p w14:paraId="51440BC7" w14:textId="1CB910F0" w:rsidR="00405A43" w:rsidRPr="005711A4" w:rsidRDefault="001930FA" w:rsidP="009C5A73">
            <w:pPr>
              <w:rPr>
                <w:rFonts w:cs="Arial"/>
                <w:sz w:val="20"/>
                <w:szCs w:val="20"/>
              </w:rPr>
            </w:pPr>
            <w:r w:rsidRPr="005711A4">
              <w:rPr>
                <w:rFonts w:cs="Arial"/>
                <w:sz w:val="20"/>
                <w:szCs w:val="20"/>
              </w:rPr>
              <w:t>Research excellence</w:t>
            </w:r>
          </w:p>
        </w:tc>
        <w:tc>
          <w:tcPr>
            <w:tcW w:w="905" w:type="dxa"/>
            <w:shd w:val="clear" w:color="auto" w:fill="FFFFFF"/>
          </w:tcPr>
          <w:p w14:paraId="3A84A523" w14:textId="13F61DA6" w:rsidR="00405A43" w:rsidRPr="00C80499" w:rsidRDefault="00405A43" w:rsidP="003B456D">
            <w:pPr>
              <w:jc w:val="center"/>
              <w:rPr>
                <w:rFonts w:cs="Arial"/>
                <w:sz w:val="20"/>
                <w:szCs w:val="20"/>
                <w:highlight w:val="yellow"/>
              </w:rPr>
            </w:pPr>
          </w:p>
        </w:tc>
        <w:tc>
          <w:tcPr>
            <w:tcW w:w="1173" w:type="dxa"/>
            <w:shd w:val="clear" w:color="auto" w:fill="FFFFFF"/>
          </w:tcPr>
          <w:p w14:paraId="210FC816" w14:textId="0E460FEB" w:rsidR="00405A43" w:rsidRPr="00C80499" w:rsidRDefault="00A0747A" w:rsidP="003B456D">
            <w:pPr>
              <w:jc w:val="center"/>
              <w:rPr>
                <w:rFonts w:cs="Arial"/>
                <w:sz w:val="20"/>
                <w:szCs w:val="20"/>
                <w:highlight w:val="yellow"/>
              </w:rPr>
            </w:pPr>
            <w:r w:rsidRPr="00AB4DEC">
              <w:rPr>
                <w:rFonts w:cs="Arial"/>
                <w:sz w:val="20"/>
                <w:szCs w:val="20"/>
              </w:rPr>
              <w:sym w:font="Wingdings" w:char="F0FC"/>
            </w:r>
          </w:p>
        </w:tc>
      </w:tr>
      <w:tr w:rsidR="006C653D" w:rsidRPr="005711A4" w14:paraId="14892BFD" w14:textId="77777777" w:rsidTr="00487760">
        <w:tc>
          <w:tcPr>
            <w:tcW w:w="2547" w:type="dxa"/>
            <w:vMerge/>
            <w:shd w:val="clear" w:color="auto" w:fill="BFBFBF" w:themeFill="background1" w:themeFillShade="BF"/>
          </w:tcPr>
          <w:p w14:paraId="2CA213B8" w14:textId="77777777" w:rsidR="00405A43" w:rsidRPr="005711A4" w:rsidRDefault="00405A43" w:rsidP="009C5A73">
            <w:pPr>
              <w:rPr>
                <w:rFonts w:cs="Arial"/>
                <w:sz w:val="20"/>
                <w:szCs w:val="20"/>
              </w:rPr>
            </w:pPr>
          </w:p>
        </w:tc>
        <w:tc>
          <w:tcPr>
            <w:tcW w:w="5003" w:type="dxa"/>
            <w:shd w:val="clear" w:color="auto" w:fill="FFFFFF"/>
          </w:tcPr>
          <w:p w14:paraId="60DB47C4" w14:textId="4E353B57" w:rsidR="00405A43" w:rsidRPr="005711A4" w:rsidRDefault="00D42E0C" w:rsidP="009C5A73">
            <w:pPr>
              <w:rPr>
                <w:rFonts w:cs="Arial"/>
                <w:sz w:val="20"/>
                <w:szCs w:val="20"/>
              </w:rPr>
            </w:pPr>
            <w:r w:rsidRPr="005711A4">
              <w:rPr>
                <w:rFonts w:cs="Arial"/>
                <w:sz w:val="20"/>
                <w:szCs w:val="20"/>
              </w:rPr>
              <w:t>Transformati</w:t>
            </w:r>
            <w:r w:rsidR="00DB366D">
              <w:rPr>
                <w:rFonts w:cs="Arial"/>
                <w:sz w:val="20"/>
                <w:szCs w:val="20"/>
              </w:rPr>
              <w:t>onal education</w:t>
            </w:r>
          </w:p>
        </w:tc>
        <w:tc>
          <w:tcPr>
            <w:tcW w:w="905" w:type="dxa"/>
            <w:shd w:val="clear" w:color="auto" w:fill="FFFFFF"/>
          </w:tcPr>
          <w:p w14:paraId="575D26CF" w14:textId="63DC1FB3" w:rsidR="00405A43" w:rsidRPr="00C80499" w:rsidRDefault="00405A43" w:rsidP="003B456D">
            <w:pPr>
              <w:jc w:val="center"/>
              <w:rPr>
                <w:rFonts w:cs="Arial"/>
                <w:sz w:val="20"/>
                <w:szCs w:val="20"/>
                <w:highlight w:val="yellow"/>
              </w:rPr>
            </w:pPr>
          </w:p>
        </w:tc>
        <w:tc>
          <w:tcPr>
            <w:tcW w:w="1173" w:type="dxa"/>
            <w:shd w:val="clear" w:color="auto" w:fill="FFFFFF"/>
          </w:tcPr>
          <w:p w14:paraId="0FE9B9CA" w14:textId="510A1123" w:rsidR="00405A43" w:rsidRPr="00C80499" w:rsidRDefault="003B456D" w:rsidP="003B456D">
            <w:pPr>
              <w:jc w:val="center"/>
              <w:rPr>
                <w:rFonts w:cs="Arial"/>
                <w:sz w:val="20"/>
                <w:szCs w:val="20"/>
                <w:highlight w:val="yellow"/>
              </w:rPr>
            </w:pPr>
            <w:r w:rsidRPr="00AB4DEC">
              <w:rPr>
                <w:rFonts w:cs="Arial"/>
                <w:sz w:val="20"/>
                <w:szCs w:val="20"/>
              </w:rPr>
              <w:sym w:font="Wingdings" w:char="F0FC"/>
            </w:r>
          </w:p>
        </w:tc>
      </w:tr>
      <w:tr w:rsidR="006C653D" w:rsidRPr="005711A4" w14:paraId="39913B28" w14:textId="77777777" w:rsidTr="00487760">
        <w:tc>
          <w:tcPr>
            <w:tcW w:w="2547" w:type="dxa"/>
            <w:vMerge/>
            <w:shd w:val="clear" w:color="auto" w:fill="BFBFBF" w:themeFill="background1" w:themeFillShade="BF"/>
          </w:tcPr>
          <w:p w14:paraId="42562C10" w14:textId="77777777" w:rsidR="00405A43" w:rsidRPr="005711A4" w:rsidRDefault="00405A43" w:rsidP="009C5A73">
            <w:pPr>
              <w:rPr>
                <w:rFonts w:cs="Arial"/>
                <w:sz w:val="20"/>
                <w:szCs w:val="20"/>
              </w:rPr>
            </w:pPr>
          </w:p>
        </w:tc>
        <w:tc>
          <w:tcPr>
            <w:tcW w:w="5003" w:type="dxa"/>
            <w:shd w:val="clear" w:color="auto" w:fill="FFFFFF"/>
          </w:tcPr>
          <w:p w14:paraId="7EE52731" w14:textId="182DD8BC" w:rsidR="00405A43" w:rsidRPr="005711A4" w:rsidRDefault="00D42E0C" w:rsidP="009C5A73">
            <w:pPr>
              <w:rPr>
                <w:rFonts w:cs="Arial"/>
                <w:sz w:val="20"/>
                <w:szCs w:val="20"/>
              </w:rPr>
            </w:pPr>
            <w:r w:rsidRPr="005711A4">
              <w:rPr>
                <w:rFonts w:cs="Arial"/>
                <w:sz w:val="20"/>
                <w:szCs w:val="20"/>
              </w:rPr>
              <w:t xml:space="preserve">Welsh language and </w:t>
            </w:r>
            <w:r w:rsidR="00107288">
              <w:rPr>
                <w:rFonts w:cs="Arial"/>
                <w:sz w:val="20"/>
                <w:szCs w:val="20"/>
              </w:rPr>
              <w:t>culture</w:t>
            </w:r>
          </w:p>
        </w:tc>
        <w:tc>
          <w:tcPr>
            <w:tcW w:w="905" w:type="dxa"/>
            <w:shd w:val="clear" w:color="auto" w:fill="FFFFFF"/>
          </w:tcPr>
          <w:p w14:paraId="381D8AA6" w14:textId="0EB9114A" w:rsidR="00405A43" w:rsidRPr="00C80499" w:rsidRDefault="00405A43" w:rsidP="003B456D">
            <w:pPr>
              <w:jc w:val="center"/>
              <w:rPr>
                <w:rFonts w:cs="Arial"/>
                <w:sz w:val="20"/>
                <w:szCs w:val="20"/>
                <w:highlight w:val="yellow"/>
              </w:rPr>
            </w:pPr>
          </w:p>
        </w:tc>
        <w:tc>
          <w:tcPr>
            <w:tcW w:w="1173" w:type="dxa"/>
            <w:shd w:val="clear" w:color="auto" w:fill="FFFFFF"/>
          </w:tcPr>
          <w:p w14:paraId="328F2BD4" w14:textId="6335D6A8" w:rsidR="00405A43" w:rsidRPr="00C80499" w:rsidRDefault="003B456D" w:rsidP="003B456D">
            <w:pPr>
              <w:jc w:val="center"/>
              <w:rPr>
                <w:rFonts w:cs="Arial"/>
                <w:sz w:val="20"/>
                <w:szCs w:val="20"/>
                <w:highlight w:val="yellow"/>
              </w:rPr>
            </w:pPr>
            <w:r w:rsidRPr="00AB4DEC">
              <w:rPr>
                <w:rFonts w:cs="Arial"/>
                <w:sz w:val="20"/>
                <w:szCs w:val="20"/>
              </w:rPr>
              <w:sym w:font="Wingdings" w:char="F0FC"/>
            </w:r>
          </w:p>
        </w:tc>
      </w:tr>
      <w:tr w:rsidR="00D42E0C" w:rsidRPr="005711A4" w14:paraId="2F06E8C3" w14:textId="77777777" w:rsidTr="00D44348">
        <w:tc>
          <w:tcPr>
            <w:tcW w:w="9628" w:type="dxa"/>
            <w:gridSpan w:val="4"/>
            <w:shd w:val="clear" w:color="auto" w:fill="FFFFFF"/>
          </w:tcPr>
          <w:p w14:paraId="139750E4" w14:textId="303D3B4A" w:rsidR="00D42E0C" w:rsidRPr="005711A4" w:rsidRDefault="00D42E0C" w:rsidP="003B456D">
            <w:pPr>
              <w:jc w:val="center"/>
              <w:rPr>
                <w:rFonts w:cs="Arial"/>
                <w:sz w:val="20"/>
                <w:szCs w:val="20"/>
              </w:rPr>
            </w:pPr>
          </w:p>
        </w:tc>
      </w:tr>
      <w:tr w:rsidR="00D42E0C" w:rsidRPr="005711A4" w14:paraId="520CA235" w14:textId="77777777" w:rsidTr="00487760">
        <w:tc>
          <w:tcPr>
            <w:tcW w:w="2547" w:type="dxa"/>
            <w:vMerge w:val="restart"/>
            <w:shd w:val="clear" w:color="auto" w:fill="BFBFBF" w:themeFill="background1" w:themeFillShade="BF"/>
          </w:tcPr>
          <w:p w14:paraId="68AB9F13" w14:textId="44664D2B" w:rsidR="000C6246" w:rsidRPr="009835A6" w:rsidRDefault="000C6246" w:rsidP="009C5A73">
            <w:pPr>
              <w:rPr>
                <w:rFonts w:cs="Arial"/>
                <w:b/>
                <w:bCs/>
                <w:sz w:val="20"/>
                <w:szCs w:val="20"/>
              </w:rPr>
            </w:pPr>
            <w:r w:rsidRPr="005711A4">
              <w:rPr>
                <w:rFonts w:cs="Arial"/>
                <w:b/>
                <w:bCs/>
                <w:sz w:val="20"/>
                <w:szCs w:val="20"/>
              </w:rPr>
              <w:t>Transformational themes:</w:t>
            </w:r>
          </w:p>
        </w:tc>
        <w:tc>
          <w:tcPr>
            <w:tcW w:w="5003" w:type="dxa"/>
            <w:shd w:val="clear" w:color="auto" w:fill="FFFFFF"/>
          </w:tcPr>
          <w:p w14:paraId="1B028A59" w14:textId="1D8D14D4" w:rsidR="00D42E0C" w:rsidRPr="005711A4" w:rsidRDefault="000C6246" w:rsidP="009C5A73">
            <w:pPr>
              <w:rPr>
                <w:rFonts w:cs="Arial"/>
                <w:sz w:val="20"/>
                <w:szCs w:val="20"/>
              </w:rPr>
            </w:pPr>
            <w:r w:rsidRPr="005711A4">
              <w:rPr>
                <w:rFonts w:cs="Arial"/>
                <w:sz w:val="20"/>
                <w:szCs w:val="20"/>
              </w:rPr>
              <w:t>Economic, social, and civic impact</w:t>
            </w:r>
          </w:p>
        </w:tc>
        <w:tc>
          <w:tcPr>
            <w:tcW w:w="905" w:type="dxa"/>
            <w:shd w:val="clear" w:color="auto" w:fill="FFFFFF"/>
          </w:tcPr>
          <w:p w14:paraId="4B824821" w14:textId="55C8C833" w:rsidR="00D42E0C" w:rsidRPr="00C80499" w:rsidRDefault="00A0747A" w:rsidP="003B456D">
            <w:pPr>
              <w:jc w:val="center"/>
              <w:rPr>
                <w:rFonts w:cs="Arial"/>
                <w:sz w:val="20"/>
                <w:szCs w:val="20"/>
                <w:highlight w:val="yellow"/>
              </w:rPr>
            </w:pPr>
            <w:r w:rsidRPr="00AB4DEC">
              <w:rPr>
                <w:rFonts w:cs="Arial"/>
                <w:sz w:val="20"/>
                <w:szCs w:val="20"/>
              </w:rPr>
              <w:sym w:font="Wingdings" w:char="F0FC"/>
            </w:r>
          </w:p>
        </w:tc>
        <w:tc>
          <w:tcPr>
            <w:tcW w:w="1173" w:type="dxa"/>
            <w:shd w:val="clear" w:color="auto" w:fill="FFFFFF"/>
          </w:tcPr>
          <w:p w14:paraId="371C4194" w14:textId="54CC8B62" w:rsidR="00D42E0C" w:rsidRPr="00C80499" w:rsidRDefault="00D42E0C" w:rsidP="003B456D">
            <w:pPr>
              <w:jc w:val="center"/>
              <w:rPr>
                <w:rFonts w:cs="Arial"/>
                <w:sz w:val="20"/>
                <w:szCs w:val="20"/>
                <w:highlight w:val="yellow"/>
              </w:rPr>
            </w:pPr>
          </w:p>
        </w:tc>
      </w:tr>
      <w:tr w:rsidR="00D42E0C" w:rsidRPr="005711A4" w14:paraId="251FFD13" w14:textId="77777777" w:rsidTr="00487760">
        <w:tc>
          <w:tcPr>
            <w:tcW w:w="2547" w:type="dxa"/>
            <w:vMerge/>
            <w:shd w:val="clear" w:color="auto" w:fill="BFBFBF" w:themeFill="background1" w:themeFillShade="BF"/>
          </w:tcPr>
          <w:p w14:paraId="05F30AAC" w14:textId="77777777" w:rsidR="00D42E0C" w:rsidRPr="005711A4" w:rsidRDefault="00D42E0C" w:rsidP="009C5A73">
            <w:pPr>
              <w:rPr>
                <w:rFonts w:cs="Arial"/>
                <w:sz w:val="20"/>
                <w:szCs w:val="20"/>
              </w:rPr>
            </w:pPr>
          </w:p>
        </w:tc>
        <w:tc>
          <w:tcPr>
            <w:tcW w:w="5003" w:type="dxa"/>
            <w:shd w:val="clear" w:color="auto" w:fill="FFFFFF"/>
          </w:tcPr>
          <w:p w14:paraId="57ED2EEA" w14:textId="285E36F2" w:rsidR="00D42E0C" w:rsidRPr="005711A4" w:rsidRDefault="008A2B96" w:rsidP="009C5A73">
            <w:pPr>
              <w:rPr>
                <w:rFonts w:cs="Arial"/>
                <w:sz w:val="20"/>
                <w:szCs w:val="20"/>
              </w:rPr>
            </w:pPr>
            <w:r w:rsidRPr="005711A4">
              <w:rPr>
                <w:rFonts w:cs="Arial"/>
                <w:sz w:val="20"/>
                <w:szCs w:val="20"/>
              </w:rPr>
              <w:t xml:space="preserve">Global </w:t>
            </w:r>
            <w:r w:rsidR="00D54961">
              <w:rPr>
                <w:rFonts w:cs="Arial"/>
                <w:sz w:val="20"/>
                <w:szCs w:val="20"/>
              </w:rPr>
              <w:t>engagement</w:t>
            </w:r>
          </w:p>
        </w:tc>
        <w:tc>
          <w:tcPr>
            <w:tcW w:w="905" w:type="dxa"/>
            <w:shd w:val="clear" w:color="auto" w:fill="FFFFFF"/>
          </w:tcPr>
          <w:p w14:paraId="412DBD52" w14:textId="6CD8EFA3" w:rsidR="00D42E0C" w:rsidRPr="00C80499" w:rsidRDefault="00D42E0C" w:rsidP="003B456D">
            <w:pPr>
              <w:jc w:val="center"/>
              <w:rPr>
                <w:rFonts w:cs="Arial"/>
                <w:sz w:val="20"/>
                <w:szCs w:val="20"/>
                <w:highlight w:val="yellow"/>
              </w:rPr>
            </w:pPr>
          </w:p>
        </w:tc>
        <w:tc>
          <w:tcPr>
            <w:tcW w:w="1173" w:type="dxa"/>
            <w:shd w:val="clear" w:color="auto" w:fill="FFFFFF"/>
          </w:tcPr>
          <w:p w14:paraId="49B7A41E" w14:textId="1D334B82" w:rsidR="00D42E0C" w:rsidRPr="00C80499" w:rsidRDefault="00BF0D7A" w:rsidP="003B456D">
            <w:pPr>
              <w:jc w:val="center"/>
              <w:rPr>
                <w:rFonts w:cs="Arial"/>
                <w:sz w:val="20"/>
                <w:szCs w:val="20"/>
                <w:highlight w:val="yellow"/>
              </w:rPr>
            </w:pPr>
            <w:r w:rsidRPr="00AB4DEC">
              <w:rPr>
                <w:rFonts w:cs="Arial"/>
                <w:sz w:val="20"/>
                <w:szCs w:val="20"/>
              </w:rPr>
              <w:sym w:font="Wingdings" w:char="F0FC"/>
            </w:r>
          </w:p>
        </w:tc>
      </w:tr>
      <w:tr w:rsidR="00D42E0C" w:rsidRPr="005711A4" w14:paraId="1ABC0671" w14:textId="77777777" w:rsidTr="00487760">
        <w:tc>
          <w:tcPr>
            <w:tcW w:w="2547" w:type="dxa"/>
            <w:vMerge/>
            <w:shd w:val="clear" w:color="auto" w:fill="BFBFBF" w:themeFill="background1" w:themeFillShade="BF"/>
          </w:tcPr>
          <w:p w14:paraId="6B59C25F" w14:textId="77777777" w:rsidR="00D42E0C" w:rsidRPr="005711A4" w:rsidRDefault="00D42E0C" w:rsidP="009C5A73">
            <w:pPr>
              <w:rPr>
                <w:rFonts w:cs="Arial"/>
                <w:sz w:val="20"/>
                <w:szCs w:val="20"/>
              </w:rPr>
            </w:pPr>
          </w:p>
        </w:tc>
        <w:tc>
          <w:tcPr>
            <w:tcW w:w="5003" w:type="dxa"/>
            <w:shd w:val="clear" w:color="auto" w:fill="FFFFFF"/>
          </w:tcPr>
          <w:p w14:paraId="6D82AA0C" w14:textId="6D208952" w:rsidR="00D42E0C" w:rsidRPr="005711A4" w:rsidRDefault="00A0747A" w:rsidP="009C5A73">
            <w:pPr>
              <w:rPr>
                <w:rFonts w:cs="Arial"/>
                <w:sz w:val="20"/>
                <w:szCs w:val="20"/>
              </w:rPr>
            </w:pPr>
            <w:r>
              <w:rPr>
                <w:rFonts w:cs="Arial"/>
                <w:sz w:val="20"/>
                <w:szCs w:val="20"/>
              </w:rPr>
              <w:t>Our p</w:t>
            </w:r>
            <w:r w:rsidR="008A2B96" w:rsidRPr="005711A4">
              <w:rPr>
                <w:rFonts w:cs="Arial"/>
                <w:sz w:val="20"/>
                <w:szCs w:val="20"/>
              </w:rPr>
              <w:t>eople</w:t>
            </w:r>
          </w:p>
        </w:tc>
        <w:tc>
          <w:tcPr>
            <w:tcW w:w="905" w:type="dxa"/>
            <w:shd w:val="clear" w:color="auto" w:fill="FFFFFF"/>
          </w:tcPr>
          <w:p w14:paraId="48C29228" w14:textId="596E436A" w:rsidR="00D42E0C" w:rsidRPr="00C80499" w:rsidRDefault="00D42E0C" w:rsidP="003B456D">
            <w:pPr>
              <w:jc w:val="center"/>
              <w:rPr>
                <w:rFonts w:cs="Arial"/>
                <w:sz w:val="20"/>
                <w:szCs w:val="20"/>
                <w:highlight w:val="yellow"/>
              </w:rPr>
            </w:pPr>
          </w:p>
        </w:tc>
        <w:tc>
          <w:tcPr>
            <w:tcW w:w="1173" w:type="dxa"/>
            <w:shd w:val="clear" w:color="auto" w:fill="FFFFFF"/>
          </w:tcPr>
          <w:p w14:paraId="4B83CF7F" w14:textId="7EF2314F" w:rsidR="00D42E0C" w:rsidRPr="00C80499" w:rsidRDefault="00BF0D7A" w:rsidP="003B456D">
            <w:pPr>
              <w:jc w:val="center"/>
              <w:rPr>
                <w:rFonts w:cs="Arial"/>
                <w:sz w:val="20"/>
                <w:szCs w:val="20"/>
                <w:highlight w:val="yellow"/>
              </w:rPr>
            </w:pPr>
            <w:r w:rsidRPr="00AB4DEC">
              <w:rPr>
                <w:rFonts w:cs="Arial"/>
                <w:sz w:val="20"/>
                <w:szCs w:val="20"/>
              </w:rPr>
              <w:sym w:font="Wingdings" w:char="F0FC"/>
            </w:r>
          </w:p>
        </w:tc>
      </w:tr>
      <w:tr w:rsidR="008A2B96" w:rsidRPr="005711A4" w14:paraId="26275860" w14:textId="77777777" w:rsidTr="00D44348">
        <w:tc>
          <w:tcPr>
            <w:tcW w:w="9628" w:type="dxa"/>
            <w:gridSpan w:val="4"/>
            <w:shd w:val="clear" w:color="auto" w:fill="FFFFFF"/>
          </w:tcPr>
          <w:p w14:paraId="3A4FE595" w14:textId="567C1006" w:rsidR="008A2B96" w:rsidRPr="005711A4" w:rsidRDefault="008A2B96" w:rsidP="003B456D">
            <w:pPr>
              <w:jc w:val="center"/>
              <w:rPr>
                <w:rFonts w:cs="Arial"/>
                <w:sz w:val="20"/>
                <w:szCs w:val="20"/>
              </w:rPr>
            </w:pPr>
          </w:p>
        </w:tc>
      </w:tr>
      <w:tr w:rsidR="00122666" w:rsidRPr="005711A4" w14:paraId="26AECF37" w14:textId="77777777" w:rsidTr="00487760">
        <w:tc>
          <w:tcPr>
            <w:tcW w:w="2547" w:type="dxa"/>
            <w:shd w:val="clear" w:color="auto" w:fill="BFBFBF" w:themeFill="background1" w:themeFillShade="BF"/>
          </w:tcPr>
          <w:p w14:paraId="7A132EA9" w14:textId="1EE89097" w:rsidR="00405A43" w:rsidRPr="005711A4" w:rsidRDefault="008A2B96" w:rsidP="009C5A73">
            <w:pPr>
              <w:rPr>
                <w:rFonts w:cs="Arial"/>
                <w:b/>
                <w:bCs/>
                <w:sz w:val="20"/>
                <w:szCs w:val="20"/>
              </w:rPr>
            </w:pPr>
            <w:r w:rsidRPr="005711A4">
              <w:rPr>
                <w:rFonts w:cs="Arial"/>
                <w:b/>
                <w:bCs/>
                <w:sz w:val="20"/>
                <w:szCs w:val="20"/>
              </w:rPr>
              <w:t>Underpinned by…</w:t>
            </w:r>
          </w:p>
        </w:tc>
        <w:tc>
          <w:tcPr>
            <w:tcW w:w="5003" w:type="dxa"/>
            <w:shd w:val="clear" w:color="auto" w:fill="FFFFFF"/>
          </w:tcPr>
          <w:p w14:paraId="4CF20A0C" w14:textId="60285FD6" w:rsidR="00405A43" w:rsidRPr="005711A4" w:rsidRDefault="008A2B96" w:rsidP="009C5A73">
            <w:pPr>
              <w:rPr>
                <w:rFonts w:cs="Arial"/>
                <w:sz w:val="20"/>
                <w:szCs w:val="20"/>
              </w:rPr>
            </w:pPr>
            <w:r w:rsidRPr="005711A4">
              <w:rPr>
                <w:rFonts w:cs="Arial"/>
                <w:sz w:val="20"/>
                <w:szCs w:val="20"/>
              </w:rPr>
              <w:t>Institutional sustainability</w:t>
            </w:r>
          </w:p>
        </w:tc>
        <w:tc>
          <w:tcPr>
            <w:tcW w:w="905" w:type="dxa"/>
            <w:shd w:val="clear" w:color="auto" w:fill="FFFFFF"/>
          </w:tcPr>
          <w:p w14:paraId="7C78438D" w14:textId="761D1571" w:rsidR="00405A43" w:rsidRPr="00C80499" w:rsidRDefault="00405A43" w:rsidP="003B456D">
            <w:pPr>
              <w:jc w:val="center"/>
              <w:rPr>
                <w:rFonts w:cs="Arial"/>
                <w:sz w:val="20"/>
                <w:szCs w:val="20"/>
                <w:highlight w:val="yellow"/>
              </w:rPr>
            </w:pPr>
          </w:p>
        </w:tc>
        <w:tc>
          <w:tcPr>
            <w:tcW w:w="1173" w:type="dxa"/>
            <w:shd w:val="clear" w:color="auto" w:fill="FFFFFF"/>
          </w:tcPr>
          <w:p w14:paraId="4E762D25" w14:textId="3B4CD9A3" w:rsidR="00405A43" w:rsidRPr="00C80499" w:rsidRDefault="00A0747A" w:rsidP="003B456D">
            <w:pPr>
              <w:jc w:val="center"/>
              <w:rPr>
                <w:rFonts w:cs="Arial"/>
                <w:sz w:val="20"/>
                <w:szCs w:val="20"/>
                <w:highlight w:val="yellow"/>
              </w:rPr>
            </w:pPr>
            <w:r w:rsidRPr="00AB4DEC">
              <w:rPr>
                <w:rFonts w:cs="Arial"/>
                <w:sz w:val="20"/>
                <w:szCs w:val="20"/>
              </w:rPr>
              <w:sym w:font="Wingdings" w:char="F0FC"/>
            </w:r>
          </w:p>
        </w:tc>
      </w:tr>
    </w:tbl>
    <w:p w14:paraId="217511FC" w14:textId="0C79BBE2" w:rsidR="00543F33" w:rsidRPr="006C653D" w:rsidRDefault="00543F33" w:rsidP="009C5A73">
      <w:pPr>
        <w:rPr>
          <w:rFonts w:cs="Arial"/>
        </w:rPr>
      </w:pPr>
    </w:p>
    <w:p w14:paraId="35297E2E" w14:textId="77777777" w:rsidR="005608BE" w:rsidRPr="006C653D" w:rsidRDefault="005608BE" w:rsidP="009C5A7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6"/>
        <w:gridCol w:w="8782"/>
      </w:tblGrid>
      <w:tr w:rsidR="00C37184" w:rsidRPr="005711A4" w14:paraId="268C8904" w14:textId="77777777" w:rsidTr="00714538">
        <w:trPr>
          <w:trHeight w:val="218"/>
        </w:trPr>
        <w:tc>
          <w:tcPr>
            <w:tcW w:w="9628" w:type="dxa"/>
            <w:gridSpan w:val="2"/>
            <w:tcBorders>
              <w:bottom w:val="single" w:sz="4" w:space="0" w:color="auto"/>
            </w:tcBorders>
            <w:shd w:val="clear" w:color="auto" w:fill="000000" w:themeFill="text1"/>
            <w:vAlign w:val="center"/>
          </w:tcPr>
          <w:p w14:paraId="268C8903" w14:textId="4DD9C00E" w:rsidR="00C37184" w:rsidRPr="005711A4" w:rsidRDefault="0069030D" w:rsidP="009C5A73">
            <w:pPr>
              <w:pStyle w:val="ListParagraph"/>
              <w:numPr>
                <w:ilvl w:val="0"/>
                <w:numId w:val="2"/>
              </w:numPr>
              <w:spacing w:after="120"/>
              <w:rPr>
                <w:rFonts w:cs="Arial"/>
                <w:b/>
                <w:sz w:val="20"/>
                <w:szCs w:val="20"/>
                <w:u w:val="single"/>
              </w:rPr>
            </w:pPr>
            <w:r w:rsidRPr="005711A4">
              <w:rPr>
                <w:rFonts w:cs="Arial"/>
                <w:b/>
                <w:bCs/>
                <w:sz w:val="20"/>
                <w:szCs w:val="20"/>
              </w:rPr>
              <w:t>Alignment to Corporate Risks</w:t>
            </w:r>
          </w:p>
        </w:tc>
      </w:tr>
      <w:tr w:rsidR="0069030D" w:rsidRPr="005711A4" w14:paraId="268C890F" w14:textId="77777777" w:rsidTr="00D44348">
        <w:tc>
          <w:tcPr>
            <w:tcW w:w="846" w:type="dxa"/>
            <w:shd w:val="clear" w:color="auto" w:fill="FFFFFF"/>
          </w:tcPr>
          <w:p w14:paraId="5F53A274" w14:textId="469E4B79" w:rsidR="0069030D" w:rsidRPr="005711A4" w:rsidRDefault="003B456D" w:rsidP="009C5A73">
            <w:pPr>
              <w:rPr>
                <w:rFonts w:cs="Arial"/>
                <w:sz w:val="20"/>
                <w:szCs w:val="20"/>
              </w:rPr>
            </w:pPr>
            <w:r>
              <w:rPr>
                <w:rFonts w:cs="Arial"/>
                <w:sz w:val="20"/>
                <w:szCs w:val="20"/>
              </w:rPr>
              <w:t>CR</w:t>
            </w:r>
            <w:r w:rsidR="00AB4DEC">
              <w:rPr>
                <w:rFonts w:cs="Arial"/>
                <w:sz w:val="20"/>
                <w:szCs w:val="20"/>
              </w:rPr>
              <w:t>7</w:t>
            </w:r>
          </w:p>
        </w:tc>
        <w:tc>
          <w:tcPr>
            <w:tcW w:w="8782" w:type="dxa"/>
            <w:shd w:val="clear" w:color="auto" w:fill="FFFFFF"/>
          </w:tcPr>
          <w:p w14:paraId="268C890E" w14:textId="4EC7B222" w:rsidR="0069030D" w:rsidRPr="005711A4" w:rsidRDefault="00AB4DEC" w:rsidP="009C5A73">
            <w:pPr>
              <w:rPr>
                <w:rFonts w:cs="Arial"/>
                <w:sz w:val="20"/>
                <w:szCs w:val="20"/>
              </w:rPr>
            </w:pPr>
            <w:r>
              <w:rPr>
                <w:rFonts w:cs="Arial"/>
                <w:sz w:val="20"/>
                <w:szCs w:val="20"/>
              </w:rPr>
              <w:t>Poor engagement with local/regional communities</w:t>
            </w:r>
          </w:p>
        </w:tc>
      </w:tr>
      <w:tr w:rsidR="0069030D" w:rsidRPr="005711A4" w14:paraId="2D464F83" w14:textId="77777777" w:rsidTr="00D44348">
        <w:tc>
          <w:tcPr>
            <w:tcW w:w="846" w:type="dxa"/>
            <w:shd w:val="clear" w:color="auto" w:fill="FFFFFF"/>
          </w:tcPr>
          <w:p w14:paraId="4F68CA07" w14:textId="5FEAAA0B" w:rsidR="0069030D" w:rsidRPr="005711A4" w:rsidRDefault="003B456D" w:rsidP="009C5A73">
            <w:pPr>
              <w:rPr>
                <w:rFonts w:cs="Arial"/>
                <w:sz w:val="20"/>
                <w:szCs w:val="20"/>
              </w:rPr>
            </w:pPr>
            <w:r>
              <w:rPr>
                <w:rFonts w:cs="Arial"/>
                <w:sz w:val="20"/>
                <w:szCs w:val="20"/>
              </w:rPr>
              <w:t>CR</w:t>
            </w:r>
            <w:r w:rsidR="00AB4DEC">
              <w:rPr>
                <w:rFonts w:cs="Arial"/>
                <w:sz w:val="20"/>
                <w:szCs w:val="20"/>
              </w:rPr>
              <w:t>15</w:t>
            </w:r>
          </w:p>
        </w:tc>
        <w:tc>
          <w:tcPr>
            <w:tcW w:w="8782" w:type="dxa"/>
            <w:shd w:val="clear" w:color="auto" w:fill="FFFFFF"/>
          </w:tcPr>
          <w:p w14:paraId="23CA91C1" w14:textId="2584B38E" w:rsidR="0069030D" w:rsidRPr="005711A4" w:rsidRDefault="00AB4DEC" w:rsidP="009C5A73">
            <w:pPr>
              <w:rPr>
                <w:rFonts w:cs="Arial"/>
                <w:sz w:val="20"/>
                <w:szCs w:val="20"/>
              </w:rPr>
            </w:pPr>
            <w:r>
              <w:rPr>
                <w:rFonts w:cs="Arial"/>
                <w:sz w:val="20"/>
                <w:szCs w:val="20"/>
              </w:rPr>
              <w:t>Inadequacy of institutional strategic direction</w:t>
            </w:r>
          </w:p>
        </w:tc>
      </w:tr>
    </w:tbl>
    <w:p w14:paraId="268C89FB" w14:textId="4F8D8B2E" w:rsidR="004D560E" w:rsidRPr="006C653D" w:rsidRDefault="004D560E" w:rsidP="009C5A73">
      <w:pPr>
        <w:rPr>
          <w:rFonts w:cs="Arial"/>
          <w:sz w:val="22"/>
          <w:szCs w:val="22"/>
        </w:rPr>
      </w:pPr>
    </w:p>
    <w:p w14:paraId="042151A2" w14:textId="77777777" w:rsidR="004A337C" w:rsidRPr="006C653D" w:rsidRDefault="004A337C" w:rsidP="009C5A7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56"/>
        <w:gridCol w:w="6372"/>
      </w:tblGrid>
      <w:tr w:rsidR="002A153D" w:rsidRPr="005711A4" w14:paraId="0A597D9F" w14:textId="77777777" w:rsidTr="00D44348">
        <w:tc>
          <w:tcPr>
            <w:tcW w:w="9628" w:type="dxa"/>
            <w:gridSpan w:val="2"/>
            <w:tcBorders>
              <w:bottom w:val="single" w:sz="4" w:space="0" w:color="auto"/>
            </w:tcBorders>
            <w:shd w:val="clear" w:color="auto" w:fill="000000" w:themeFill="text1"/>
            <w:vAlign w:val="center"/>
          </w:tcPr>
          <w:p w14:paraId="3F06FE60" w14:textId="354EE191" w:rsidR="002A153D" w:rsidRPr="005711A4" w:rsidRDefault="002A153D" w:rsidP="009C5A73">
            <w:pPr>
              <w:pStyle w:val="ListParagraph"/>
              <w:numPr>
                <w:ilvl w:val="0"/>
                <w:numId w:val="2"/>
              </w:numPr>
              <w:spacing w:after="120"/>
              <w:rPr>
                <w:rFonts w:cs="Arial"/>
                <w:b/>
                <w:sz w:val="20"/>
                <w:szCs w:val="20"/>
                <w:u w:val="single"/>
              </w:rPr>
            </w:pPr>
            <w:r w:rsidRPr="005711A4">
              <w:rPr>
                <w:rFonts w:cs="Arial"/>
                <w:b/>
                <w:bCs/>
                <w:sz w:val="20"/>
                <w:szCs w:val="20"/>
              </w:rPr>
              <w:t>Governance</w:t>
            </w:r>
          </w:p>
        </w:tc>
      </w:tr>
      <w:tr w:rsidR="002A153D" w:rsidRPr="005711A4" w14:paraId="689B7362" w14:textId="77777777" w:rsidTr="00D44348">
        <w:tc>
          <w:tcPr>
            <w:tcW w:w="3256" w:type="dxa"/>
            <w:shd w:val="clear" w:color="auto" w:fill="FFFFFF"/>
          </w:tcPr>
          <w:p w14:paraId="263500F3" w14:textId="7E60E6C6" w:rsidR="002A153D" w:rsidRPr="005711A4" w:rsidRDefault="002A153D" w:rsidP="009C5A73">
            <w:pPr>
              <w:rPr>
                <w:rFonts w:cs="Arial"/>
                <w:sz w:val="20"/>
                <w:szCs w:val="20"/>
              </w:rPr>
            </w:pPr>
            <w:r w:rsidRPr="005711A4">
              <w:rPr>
                <w:rFonts w:cs="Arial"/>
                <w:sz w:val="20"/>
                <w:szCs w:val="20"/>
              </w:rPr>
              <w:t>Strategy period</w:t>
            </w:r>
          </w:p>
        </w:tc>
        <w:tc>
          <w:tcPr>
            <w:tcW w:w="6372" w:type="dxa"/>
            <w:shd w:val="clear" w:color="auto" w:fill="FFFFFF"/>
          </w:tcPr>
          <w:p w14:paraId="5A7228FE" w14:textId="0CDD8433" w:rsidR="002A153D" w:rsidRPr="005711A4" w:rsidRDefault="003B456D" w:rsidP="009C5A73">
            <w:pPr>
              <w:rPr>
                <w:rFonts w:cs="Arial"/>
                <w:sz w:val="20"/>
                <w:szCs w:val="20"/>
              </w:rPr>
            </w:pPr>
            <w:r w:rsidRPr="00AB4DEC">
              <w:rPr>
                <w:rFonts w:cs="Arial"/>
                <w:sz w:val="20"/>
                <w:szCs w:val="20"/>
              </w:rPr>
              <w:t>20</w:t>
            </w:r>
            <w:r w:rsidR="00AB4DEC">
              <w:rPr>
                <w:rFonts w:cs="Arial"/>
                <w:sz w:val="20"/>
                <w:szCs w:val="20"/>
              </w:rPr>
              <w:t>2</w:t>
            </w:r>
            <w:r w:rsidR="006E0144">
              <w:rPr>
                <w:rFonts w:cs="Arial"/>
                <w:sz w:val="20"/>
                <w:szCs w:val="20"/>
              </w:rPr>
              <w:t>4</w:t>
            </w:r>
            <w:r w:rsidR="00AB4DEC">
              <w:rPr>
                <w:rFonts w:cs="Arial"/>
                <w:sz w:val="20"/>
                <w:szCs w:val="20"/>
              </w:rPr>
              <w:t>-</w:t>
            </w:r>
            <w:r w:rsidR="006E0144">
              <w:rPr>
                <w:rFonts w:cs="Arial"/>
                <w:sz w:val="20"/>
                <w:szCs w:val="20"/>
              </w:rPr>
              <w:t>2030</w:t>
            </w:r>
          </w:p>
        </w:tc>
      </w:tr>
      <w:tr w:rsidR="002A153D" w:rsidRPr="005711A4" w14:paraId="412A7FB4" w14:textId="77777777" w:rsidTr="00D44348">
        <w:tc>
          <w:tcPr>
            <w:tcW w:w="3256" w:type="dxa"/>
            <w:shd w:val="clear" w:color="auto" w:fill="FFFFFF"/>
          </w:tcPr>
          <w:p w14:paraId="0CF470A6" w14:textId="2C1E3E10" w:rsidR="002A153D" w:rsidRPr="005711A4" w:rsidRDefault="00637946" w:rsidP="009C5A73">
            <w:pPr>
              <w:rPr>
                <w:rFonts w:cs="Arial"/>
                <w:sz w:val="20"/>
                <w:szCs w:val="20"/>
              </w:rPr>
            </w:pPr>
            <w:r w:rsidRPr="005711A4">
              <w:rPr>
                <w:rFonts w:cs="Arial"/>
                <w:sz w:val="20"/>
                <w:szCs w:val="20"/>
              </w:rPr>
              <w:t>Strategy review arrangements</w:t>
            </w:r>
          </w:p>
        </w:tc>
        <w:tc>
          <w:tcPr>
            <w:tcW w:w="6372" w:type="dxa"/>
            <w:shd w:val="clear" w:color="auto" w:fill="FFFFFF"/>
          </w:tcPr>
          <w:p w14:paraId="18925744" w14:textId="10C35654" w:rsidR="002A153D" w:rsidRPr="005711A4" w:rsidRDefault="00AB4DEC" w:rsidP="009C5A73">
            <w:pPr>
              <w:rPr>
                <w:rFonts w:cs="Arial"/>
                <w:sz w:val="20"/>
                <w:szCs w:val="20"/>
              </w:rPr>
            </w:pPr>
            <w:r w:rsidRPr="595916AA">
              <w:rPr>
                <w:rFonts w:cs="Arial"/>
                <w:sz w:val="20"/>
                <w:szCs w:val="20"/>
              </w:rPr>
              <w:t>The strategy will be reviewed annually by the Civic Engagement Committee and the outcomes reported to the University Executive.</w:t>
            </w:r>
          </w:p>
        </w:tc>
      </w:tr>
      <w:tr w:rsidR="0054465B" w:rsidRPr="005711A4" w14:paraId="4E8A7DD1" w14:textId="77777777" w:rsidTr="00D44348">
        <w:tc>
          <w:tcPr>
            <w:tcW w:w="3256" w:type="dxa"/>
            <w:shd w:val="clear" w:color="auto" w:fill="FFFFFF"/>
          </w:tcPr>
          <w:p w14:paraId="19964E4D" w14:textId="67168D30" w:rsidR="0054465B" w:rsidRPr="005711A4" w:rsidRDefault="0054465B" w:rsidP="009C5A73">
            <w:pPr>
              <w:rPr>
                <w:rFonts w:cs="Arial"/>
                <w:sz w:val="20"/>
                <w:szCs w:val="20"/>
              </w:rPr>
            </w:pPr>
            <w:r w:rsidRPr="005711A4">
              <w:rPr>
                <w:rFonts w:cs="Arial"/>
                <w:sz w:val="20"/>
                <w:szCs w:val="20"/>
              </w:rPr>
              <w:t>Last reviewed</w:t>
            </w:r>
          </w:p>
        </w:tc>
        <w:tc>
          <w:tcPr>
            <w:tcW w:w="6372" w:type="dxa"/>
            <w:shd w:val="clear" w:color="auto" w:fill="FFFFFF"/>
          </w:tcPr>
          <w:p w14:paraId="3646A090" w14:textId="4E061458" w:rsidR="0054465B" w:rsidRPr="005711A4" w:rsidRDefault="003B456D" w:rsidP="009C5A73">
            <w:pPr>
              <w:rPr>
                <w:rFonts w:cs="Arial"/>
                <w:sz w:val="20"/>
                <w:szCs w:val="20"/>
              </w:rPr>
            </w:pPr>
            <w:r w:rsidRPr="005711A4">
              <w:rPr>
                <w:rFonts w:cs="Arial"/>
                <w:sz w:val="20"/>
                <w:szCs w:val="20"/>
              </w:rPr>
              <w:t>Th</w:t>
            </w:r>
            <w:r w:rsidR="00437848">
              <w:rPr>
                <w:rFonts w:cs="Arial"/>
                <w:sz w:val="20"/>
                <w:szCs w:val="20"/>
              </w:rPr>
              <w:t xml:space="preserve">is revised </w:t>
            </w:r>
            <w:r w:rsidRPr="005711A4">
              <w:rPr>
                <w:rFonts w:cs="Arial"/>
                <w:sz w:val="20"/>
                <w:szCs w:val="20"/>
              </w:rPr>
              <w:t xml:space="preserve">strategy was reviewed and approved by the Executive </w:t>
            </w:r>
            <w:r w:rsidR="00AB4DEC">
              <w:rPr>
                <w:rFonts w:cs="Arial"/>
                <w:sz w:val="20"/>
                <w:szCs w:val="20"/>
              </w:rPr>
              <w:t xml:space="preserve">in </w:t>
            </w:r>
            <w:r w:rsidR="009B7B2D">
              <w:rPr>
                <w:rFonts w:cs="Arial"/>
                <w:sz w:val="20"/>
                <w:szCs w:val="20"/>
              </w:rPr>
              <w:t>May</w:t>
            </w:r>
            <w:r w:rsidR="00AB4DEC">
              <w:rPr>
                <w:rFonts w:cs="Arial"/>
                <w:sz w:val="20"/>
                <w:szCs w:val="20"/>
              </w:rPr>
              <w:t xml:space="preserve"> 2024.</w:t>
            </w:r>
          </w:p>
        </w:tc>
      </w:tr>
    </w:tbl>
    <w:p w14:paraId="3D48D447" w14:textId="43FF9BE1" w:rsidR="004A337C" w:rsidRDefault="004A337C" w:rsidP="009C5A7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D04D18" w:rsidRPr="005711A4" w14:paraId="7330A8B0" w14:textId="77777777" w:rsidTr="00D04D18">
        <w:tc>
          <w:tcPr>
            <w:tcW w:w="9628" w:type="dxa"/>
            <w:shd w:val="clear" w:color="auto" w:fill="000000" w:themeFill="text1"/>
            <w:vAlign w:val="center"/>
          </w:tcPr>
          <w:p w14:paraId="2D460B6A" w14:textId="728865A5" w:rsidR="00D04D18" w:rsidRPr="005711A4" w:rsidRDefault="008E761F" w:rsidP="009C5A73">
            <w:pPr>
              <w:pStyle w:val="ListParagraph"/>
              <w:numPr>
                <w:ilvl w:val="0"/>
                <w:numId w:val="2"/>
              </w:numPr>
              <w:spacing w:after="120"/>
              <w:rPr>
                <w:rFonts w:cs="Arial"/>
                <w:b/>
                <w:sz w:val="20"/>
                <w:szCs w:val="20"/>
                <w:u w:val="single"/>
              </w:rPr>
            </w:pPr>
            <w:r>
              <w:rPr>
                <w:rFonts w:cs="Arial"/>
                <w:b/>
                <w:bCs/>
                <w:sz w:val="20"/>
                <w:szCs w:val="20"/>
              </w:rPr>
              <w:t>Purpose</w:t>
            </w:r>
          </w:p>
        </w:tc>
      </w:tr>
      <w:tr w:rsidR="00AB4DEC" w:rsidRPr="005711A4" w14:paraId="42C8A42C" w14:textId="77777777" w:rsidTr="00D04D18">
        <w:tc>
          <w:tcPr>
            <w:tcW w:w="9628" w:type="dxa"/>
            <w:tcBorders>
              <w:bottom w:val="single" w:sz="4" w:space="0" w:color="auto"/>
            </w:tcBorders>
            <w:shd w:val="clear" w:color="auto" w:fill="auto"/>
            <w:vAlign w:val="center"/>
          </w:tcPr>
          <w:p w14:paraId="61BAB4D7" w14:textId="0D2DD91D" w:rsidR="00AB4DEC" w:rsidRPr="00053AAC" w:rsidRDefault="00AB4DEC" w:rsidP="006E0144">
            <w:pPr>
              <w:spacing w:after="120"/>
              <w:rPr>
                <w:rFonts w:cs="Arial"/>
                <w:strike/>
                <w:sz w:val="20"/>
                <w:szCs w:val="20"/>
              </w:rPr>
            </w:pPr>
            <w:r w:rsidRPr="595916AA">
              <w:rPr>
                <w:rFonts w:cs="Arial"/>
                <w:sz w:val="20"/>
                <w:szCs w:val="20"/>
              </w:rPr>
              <w:t xml:space="preserve">From our establishment in 1884, Bangor University has </w:t>
            </w:r>
            <w:r w:rsidR="0002510A">
              <w:rPr>
                <w:rFonts w:cs="Arial"/>
                <w:sz w:val="20"/>
                <w:szCs w:val="20"/>
              </w:rPr>
              <w:t>worked</w:t>
            </w:r>
            <w:r w:rsidRPr="595916AA">
              <w:rPr>
                <w:rFonts w:cs="Arial"/>
                <w:sz w:val="20"/>
                <w:szCs w:val="20"/>
              </w:rPr>
              <w:t xml:space="preserve"> with the local and regional community to safeguard, develop and enhance the social, economic and cultural life of north Wales. As a research-led University of and for north Wales, our institutional strategic plan </w:t>
            </w:r>
            <w:r w:rsidRPr="595916AA">
              <w:rPr>
                <w:rFonts w:cs="Arial"/>
                <w:i/>
                <w:iCs/>
                <w:sz w:val="20"/>
                <w:szCs w:val="20"/>
              </w:rPr>
              <w:t xml:space="preserve">Strategy 2030 </w:t>
            </w:r>
            <w:r w:rsidRPr="595916AA">
              <w:rPr>
                <w:rFonts w:cs="Arial"/>
                <w:sz w:val="20"/>
                <w:szCs w:val="20"/>
              </w:rPr>
              <w:t>outlines our commitment to support a wealth of Civic Engagement activities regionally, nationally and internationally and recognise</w:t>
            </w:r>
            <w:r w:rsidR="0002510A">
              <w:rPr>
                <w:rFonts w:cs="Arial"/>
                <w:sz w:val="20"/>
                <w:szCs w:val="20"/>
              </w:rPr>
              <w:t>s</w:t>
            </w:r>
            <w:r w:rsidRPr="595916AA">
              <w:rPr>
                <w:rFonts w:cs="Arial"/>
                <w:sz w:val="20"/>
                <w:szCs w:val="20"/>
              </w:rPr>
              <w:t xml:space="preserve"> these as a fundamental aspect of our core activities. </w:t>
            </w:r>
          </w:p>
          <w:p w14:paraId="52B873FF" w14:textId="1C4952C1" w:rsidR="00AB4DEC" w:rsidRPr="007375CD" w:rsidRDefault="00AB4DEC" w:rsidP="00AB4DEC">
            <w:pPr>
              <w:spacing w:after="120"/>
              <w:rPr>
                <w:rFonts w:cs="Arial"/>
                <w:sz w:val="20"/>
                <w:szCs w:val="20"/>
              </w:rPr>
            </w:pPr>
            <w:r w:rsidRPr="00206EC5">
              <w:rPr>
                <w:rFonts w:cs="Arial"/>
                <w:sz w:val="20"/>
                <w:szCs w:val="20"/>
              </w:rPr>
              <w:t xml:space="preserve">The aim of this strategy and related action plan is to provide our Civic Engagement </w:t>
            </w:r>
            <w:r>
              <w:rPr>
                <w:rFonts w:cs="Arial"/>
                <w:sz w:val="20"/>
                <w:szCs w:val="20"/>
              </w:rPr>
              <w:t>work</w:t>
            </w:r>
            <w:r w:rsidRPr="00206EC5">
              <w:rPr>
                <w:rFonts w:cs="Arial"/>
                <w:sz w:val="20"/>
                <w:szCs w:val="20"/>
              </w:rPr>
              <w:t xml:space="preserve"> with direction</w:t>
            </w:r>
            <w:r w:rsidR="00B503BE">
              <w:rPr>
                <w:rFonts w:cs="Arial"/>
                <w:sz w:val="20"/>
                <w:szCs w:val="20"/>
              </w:rPr>
              <w:t xml:space="preserve"> </w:t>
            </w:r>
            <w:r w:rsidR="00B503BE" w:rsidRPr="006E0144">
              <w:rPr>
                <w:rFonts w:cs="Arial"/>
                <w:color w:val="000000" w:themeColor="text1"/>
                <w:sz w:val="20"/>
                <w:szCs w:val="20"/>
              </w:rPr>
              <w:t>and</w:t>
            </w:r>
            <w:r w:rsidRPr="00206EC5">
              <w:rPr>
                <w:rFonts w:cs="Arial"/>
                <w:sz w:val="20"/>
                <w:szCs w:val="20"/>
              </w:rPr>
              <w:t xml:space="preserve"> visibility. By ensuring that our </w:t>
            </w:r>
            <w:r>
              <w:rPr>
                <w:rFonts w:cs="Arial"/>
                <w:sz w:val="20"/>
                <w:szCs w:val="20"/>
              </w:rPr>
              <w:t>partnership work is coherent and holistic, we</w:t>
            </w:r>
            <w:r w:rsidRPr="00206EC5">
              <w:rPr>
                <w:rFonts w:cs="Arial"/>
                <w:sz w:val="20"/>
                <w:szCs w:val="20"/>
              </w:rPr>
              <w:t xml:space="preserve"> will be able to </w:t>
            </w:r>
            <w:r>
              <w:rPr>
                <w:rFonts w:cs="Arial"/>
                <w:sz w:val="20"/>
                <w:szCs w:val="20"/>
              </w:rPr>
              <w:t xml:space="preserve">fuel growth and accelerate change. </w:t>
            </w:r>
            <w:r w:rsidRPr="00206EC5">
              <w:rPr>
                <w:rFonts w:cs="Arial"/>
                <w:sz w:val="20"/>
                <w:szCs w:val="20"/>
              </w:rPr>
              <w:t xml:space="preserve"> </w:t>
            </w:r>
          </w:p>
          <w:p w14:paraId="7A85799C" w14:textId="25D4D0CB" w:rsidR="00AB4DEC" w:rsidRPr="00487796" w:rsidRDefault="00AB4DEC" w:rsidP="006E0144">
            <w:pPr>
              <w:spacing w:after="120"/>
              <w:rPr>
                <w:rFonts w:cs="Arial"/>
                <w:sz w:val="20"/>
                <w:szCs w:val="20"/>
              </w:rPr>
            </w:pPr>
            <w:r w:rsidRPr="5B7365AA">
              <w:rPr>
                <w:rFonts w:cs="Arial"/>
                <w:sz w:val="20"/>
                <w:szCs w:val="20"/>
              </w:rPr>
              <w:t xml:space="preserve">The strategy is built on firm foundations. A wealth of civic engagement activity is </w:t>
            </w:r>
            <w:r>
              <w:rPr>
                <w:rFonts w:cs="Arial"/>
                <w:sz w:val="20"/>
                <w:szCs w:val="20"/>
              </w:rPr>
              <w:t>currently</w:t>
            </w:r>
            <w:r w:rsidRPr="5B7365AA">
              <w:rPr>
                <w:rFonts w:cs="Arial"/>
                <w:sz w:val="20"/>
                <w:szCs w:val="20"/>
              </w:rPr>
              <w:t xml:space="preserve"> undertaken by staff and students across academic and service departments. These activities are often based on long-established and well-developed networks with a </w:t>
            </w:r>
            <w:r>
              <w:rPr>
                <w:rFonts w:cs="Arial"/>
                <w:sz w:val="20"/>
                <w:szCs w:val="20"/>
              </w:rPr>
              <w:t>range</w:t>
            </w:r>
            <w:r w:rsidRPr="5B7365AA">
              <w:rPr>
                <w:rFonts w:cs="Arial"/>
                <w:sz w:val="20"/>
                <w:szCs w:val="20"/>
              </w:rPr>
              <w:t xml:space="preserve"> of partners </w:t>
            </w:r>
            <w:r>
              <w:rPr>
                <w:rFonts w:cs="Arial"/>
                <w:sz w:val="20"/>
                <w:szCs w:val="20"/>
              </w:rPr>
              <w:t>that</w:t>
            </w:r>
            <w:r w:rsidRPr="5B7365AA">
              <w:rPr>
                <w:rFonts w:cs="Arial"/>
                <w:sz w:val="20"/>
                <w:szCs w:val="20"/>
              </w:rPr>
              <w:t xml:space="preserve"> include public bodies, community groups</w:t>
            </w:r>
            <w:r w:rsidR="0002510A">
              <w:rPr>
                <w:rFonts w:cs="Arial"/>
                <w:sz w:val="20"/>
                <w:szCs w:val="20"/>
              </w:rPr>
              <w:t xml:space="preserve"> and </w:t>
            </w:r>
            <w:r w:rsidRPr="5B7365AA">
              <w:rPr>
                <w:rFonts w:cs="Arial"/>
                <w:sz w:val="20"/>
                <w:szCs w:val="20"/>
              </w:rPr>
              <w:t xml:space="preserve">businesses. The strategy seeks to </w:t>
            </w:r>
            <w:r w:rsidR="0002510A">
              <w:rPr>
                <w:rFonts w:cs="Arial"/>
                <w:sz w:val="20"/>
                <w:szCs w:val="20"/>
              </w:rPr>
              <w:t>recognise and enhance</w:t>
            </w:r>
            <w:r w:rsidRPr="5B7365AA">
              <w:rPr>
                <w:rFonts w:cs="Arial"/>
                <w:sz w:val="20"/>
                <w:szCs w:val="20"/>
              </w:rPr>
              <w:t xml:space="preserve"> the work that is currently undertaken, give it greater momentum and impact, and help identify new opportunities</w:t>
            </w:r>
            <w:r w:rsidR="0002510A">
              <w:rPr>
                <w:rFonts w:cs="Arial"/>
                <w:sz w:val="20"/>
                <w:szCs w:val="20"/>
              </w:rPr>
              <w:t xml:space="preserve"> for partnership working.</w:t>
            </w:r>
            <w:r w:rsidRPr="5B7365AA">
              <w:rPr>
                <w:rFonts w:cs="Arial"/>
                <w:sz w:val="20"/>
                <w:szCs w:val="20"/>
              </w:rPr>
              <w:t xml:space="preserve"> </w:t>
            </w:r>
          </w:p>
          <w:p w14:paraId="6D975D4A" w14:textId="77777777" w:rsidR="00AB4DEC" w:rsidRDefault="00AB4DEC" w:rsidP="00AB4DEC">
            <w:pPr>
              <w:spacing w:after="120"/>
              <w:rPr>
                <w:rFonts w:cs="Arial"/>
                <w:sz w:val="20"/>
                <w:szCs w:val="20"/>
              </w:rPr>
            </w:pPr>
            <w:r>
              <w:rPr>
                <w:rFonts w:cs="Arial"/>
                <w:sz w:val="20"/>
                <w:szCs w:val="20"/>
              </w:rPr>
              <w:lastRenderedPageBreak/>
              <w:t xml:space="preserve">This strategy can only be achieved through partnership work. </w:t>
            </w:r>
            <w:r w:rsidRPr="00001D38">
              <w:rPr>
                <w:rFonts w:cs="Arial"/>
                <w:sz w:val="20"/>
                <w:szCs w:val="20"/>
              </w:rPr>
              <w:t>Th</w:t>
            </w:r>
            <w:r>
              <w:rPr>
                <w:rFonts w:cs="Arial"/>
                <w:sz w:val="20"/>
                <w:szCs w:val="20"/>
              </w:rPr>
              <w:t xml:space="preserve">e strategy provides direction for developing and sustaining partnerships and maximising the beneficial impact that we can have through collaboration. We will adopt a values-based approach to civic engagement. We will emphasise our </w:t>
            </w:r>
            <w:r w:rsidRPr="001A3434">
              <w:rPr>
                <w:rFonts w:cs="Arial"/>
                <w:i/>
                <w:iCs/>
                <w:sz w:val="20"/>
                <w:szCs w:val="20"/>
              </w:rPr>
              <w:t>ambitions</w:t>
            </w:r>
            <w:r>
              <w:rPr>
                <w:rFonts w:cs="Arial"/>
                <w:sz w:val="20"/>
                <w:szCs w:val="20"/>
              </w:rPr>
              <w:t xml:space="preserve"> for our communities, </w:t>
            </w:r>
            <w:r w:rsidRPr="001A3434">
              <w:rPr>
                <w:rFonts w:cs="Arial"/>
                <w:i/>
                <w:iCs/>
                <w:sz w:val="20"/>
                <w:szCs w:val="20"/>
              </w:rPr>
              <w:t>accountability</w:t>
            </w:r>
            <w:r>
              <w:rPr>
                <w:rFonts w:cs="Arial"/>
                <w:sz w:val="20"/>
                <w:szCs w:val="20"/>
              </w:rPr>
              <w:t xml:space="preserve"> to external stakeholders, </w:t>
            </w:r>
            <w:r w:rsidRPr="001A3434">
              <w:rPr>
                <w:rFonts w:cs="Arial"/>
                <w:i/>
                <w:iCs/>
                <w:sz w:val="20"/>
                <w:szCs w:val="20"/>
              </w:rPr>
              <w:t>curiousness</w:t>
            </w:r>
            <w:r>
              <w:rPr>
                <w:rFonts w:cs="Arial"/>
                <w:sz w:val="20"/>
                <w:szCs w:val="20"/>
              </w:rPr>
              <w:t xml:space="preserve"> to exchange ideas and find solutions, </w:t>
            </w:r>
            <w:r w:rsidRPr="001A3434">
              <w:rPr>
                <w:rFonts w:cs="Arial"/>
                <w:i/>
                <w:iCs/>
                <w:sz w:val="20"/>
                <w:szCs w:val="20"/>
              </w:rPr>
              <w:t>collaboration</w:t>
            </w:r>
            <w:r>
              <w:rPr>
                <w:rFonts w:cs="Arial"/>
                <w:sz w:val="20"/>
                <w:szCs w:val="20"/>
              </w:rPr>
              <w:t xml:space="preserve"> in our approach and thinking, </w:t>
            </w:r>
            <w:r w:rsidRPr="001A3434">
              <w:rPr>
                <w:rFonts w:cs="Arial"/>
                <w:i/>
                <w:iCs/>
                <w:sz w:val="20"/>
                <w:szCs w:val="20"/>
              </w:rPr>
              <w:t>mindfulness</w:t>
            </w:r>
            <w:r>
              <w:rPr>
                <w:rFonts w:cs="Arial"/>
                <w:sz w:val="20"/>
                <w:szCs w:val="20"/>
              </w:rPr>
              <w:t xml:space="preserve"> of interdependencies and </w:t>
            </w:r>
            <w:r w:rsidRPr="001A3434">
              <w:rPr>
                <w:rFonts w:cs="Arial"/>
                <w:i/>
                <w:iCs/>
                <w:sz w:val="20"/>
                <w:szCs w:val="20"/>
              </w:rPr>
              <w:t>respectfulness</w:t>
            </w:r>
            <w:r>
              <w:rPr>
                <w:rFonts w:cs="Arial"/>
                <w:sz w:val="20"/>
                <w:szCs w:val="20"/>
              </w:rPr>
              <w:t xml:space="preserve"> of people, place, culture and processes. </w:t>
            </w:r>
          </w:p>
          <w:p w14:paraId="62E6E508" w14:textId="77777777" w:rsidR="0002510A" w:rsidRDefault="00AB4DEC" w:rsidP="00AB4DEC">
            <w:pPr>
              <w:spacing w:after="120"/>
              <w:rPr>
                <w:rFonts w:cs="Arial"/>
                <w:sz w:val="20"/>
                <w:szCs w:val="20"/>
              </w:rPr>
            </w:pPr>
            <w:r w:rsidRPr="595916AA">
              <w:rPr>
                <w:rFonts w:cs="Arial"/>
                <w:sz w:val="20"/>
                <w:szCs w:val="20"/>
              </w:rPr>
              <w:t>We will ensure that institutional leadership and operational support is in place to deliver the strategy.</w:t>
            </w:r>
          </w:p>
          <w:p w14:paraId="6A5B11D9" w14:textId="705AB537" w:rsidR="00AB4DEC" w:rsidRPr="00854CA3" w:rsidRDefault="00AB4DEC" w:rsidP="00AB4DEC">
            <w:pPr>
              <w:spacing w:after="120"/>
              <w:rPr>
                <w:rFonts w:cs="Arial"/>
                <w:sz w:val="18"/>
                <w:szCs w:val="18"/>
              </w:rPr>
            </w:pPr>
            <w:r w:rsidRPr="595916AA">
              <w:rPr>
                <w:rFonts w:cs="Arial"/>
                <w:sz w:val="20"/>
                <w:szCs w:val="20"/>
              </w:rPr>
              <w:t xml:space="preserve"> Given the inherently cross-institutional nature of civic engagement, effective internal collaboration and dovetailing with other strategies and workflows is essential. </w:t>
            </w:r>
          </w:p>
        </w:tc>
      </w:tr>
    </w:tbl>
    <w:p w14:paraId="400BD39D" w14:textId="77777777" w:rsidR="00D04D18" w:rsidRPr="006C653D" w:rsidRDefault="00D04D18" w:rsidP="009C5A73">
      <w:pPr>
        <w:rPr>
          <w:rFonts w:cs="Arial"/>
          <w:sz w:val="22"/>
          <w:szCs w:val="22"/>
        </w:rPr>
      </w:pPr>
    </w:p>
    <w:p w14:paraId="7FBCC0B3" w14:textId="07398778" w:rsidR="004A337C" w:rsidRPr="006C653D" w:rsidRDefault="004A337C" w:rsidP="009C5A7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85752" w:rsidRPr="006810E6" w14:paraId="268C89FE" w14:textId="77777777" w:rsidTr="00D04D18">
        <w:tc>
          <w:tcPr>
            <w:tcW w:w="9628" w:type="dxa"/>
            <w:tcBorders>
              <w:bottom w:val="single" w:sz="4" w:space="0" w:color="auto"/>
            </w:tcBorders>
            <w:shd w:val="clear" w:color="auto" w:fill="000000" w:themeFill="text1"/>
            <w:vAlign w:val="center"/>
          </w:tcPr>
          <w:p w14:paraId="268C89FD" w14:textId="60BCA28A" w:rsidR="00714538" w:rsidRPr="00714538" w:rsidRDefault="00C17918" w:rsidP="009C5A73">
            <w:pPr>
              <w:pStyle w:val="ListParagraph"/>
              <w:numPr>
                <w:ilvl w:val="0"/>
                <w:numId w:val="2"/>
              </w:numPr>
              <w:rPr>
                <w:rFonts w:eastAsia="Calibri" w:cs="Arial"/>
                <w:b/>
                <w:sz w:val="20"/>
                <w:szCs w:val="20"/>
              </w:rPr>
            </w:pPr>
            <w:r w:rsidRPr="006810E6">
              <w:rPr>
                <w:rFonts w:eastAsia="Calibri" w:cs="Arial"/>
                <w:b/>
                <w:sz w:val="20"/>
                <w:szCs w:val="20"/>
              </w:rPr>
              <w:t>Objectives</w:t>
            </w:r>
          </w:p>
        </w:tc>
      </w:tr>
      <w:tr w:rsidR="00D44348" w:rsidRPr="006810E6" w14:paraId="5567F91F" w14:textId="77777777" w:rsidTr="00D04D18">
        <w:tc>
          <w:tcPr>
            <w:tcW w:w="9628" w:type="dxa"/>
            <w:shd w:val="clear" w:color="auto" w:fill="BFBFBF" w:themeFill="background1" w:themeFillShade="BF"/>
          </w:tcPr>
          <w:p w14:paraId="3FD1243C" w14:textId="3736A8F1" w:rsidR="00F4711E" w:rsidRPr="00AB4DEC" w:rsidRDefault="00AB4DEC" w:rsidP="00AB4DEC">
            <w:pPr>
              <w:pStyle w:val="ListParagraph"/>
              <w:numPr>
                <w:ilvl w:val="0"/>
                <w:numId w:val="19"/>
              </w:numPr>
              <w:rPr>
                <w:rFonts w:eastAsia="Calibri" w:cs="Arial"/>
                <w:b/>
                <w:bCs/>
                <w:color w:val="000000" w:themeColor="text1"/>
                <w:sz w:val="20"/>
                <w:szCs w:val="20"/>
              </w:rPr>
            </w:pPr>
            <w:r>
              <w:rPr>
                <w:rFonts w:eastAsia="Calibri" w:cs="Arial"/>
                <w:b/>
                <w:bCs/>
                <w:color w:val="000000" w:themeColor="text1"/>
                <w:sz w:val="20"/>
                <w:szCs w:val="20"/>
              </w:rPr>
              <w:t>Effective and timely communication of civic engagement activities.</w:t>
            </w:r>
          </w:p>
        </w:tc>
      </w:tr>
      <w:tr w:rsidR="00714538" w:rsidRPr="006810E6" w14:paraId="268C8A0D" w14:textId="77777777" w:rsidTr="00D04D18">
        <w:tc>
          <w:tcPr>
            <w:tcW w:w="9628" w:type="dxa"/>
            <w:shd w:val="clear" w:color="auto" w:fill="auto"/>
          </w:tcPr>
          <w:p w14:paraId="6723BDB1" w14:textId="77777777" w:rsidR="005667D2" w:rsidRDefault="005667D2" w:rsidP="00AB4DEC">
            <w:pPr>
              <w:rPr>
                <w:rFonts w:eastAsia="Calibri" w:cs="Arial"/>
                <w:color w:val="000000" w:themeColor="text1"/>
                <w:sz w:val="20"/>
                <w:szCs w:val="20"/>
              </w:rPr>
            </w:pPr>
          </w:p>
          <w:p w14:paraId="467252D6" w14:textId="09E7CA27" w:rsidR="00F15313" w:rsidRPr="00F15313" w:rsidRDefault="00F15313" w:rsidP="00F15313">
            <w:pPr>
              <w:pStyle w:val="ListParagraph"/>
              <w:numPr>
                <w:ilvl w:val="0"/>
                <w:numId w:val="28"/>
              </w:numPr>
              <w:rPr>
                <w:rFonts w:eastAsia="Calibri" w:cs="Arial"/>
                <w:color w:val="000000" w:themeColor="text1"/>
                <w:sz w:val="20"/>
                <w:szCs w:val="20"/>
              </w:rPr>
            </w:pPr>
            <w:r w:rsidRPr="5B7365AA">
              <w:rPr>
                <w:rFonts w:eastAsia="Calibri" w:cs="Arial"/>
                <w:color w:val="000000" w:themeColor="text1"/>
                <w:sz w:val="20"/>
                <w:szCs w:val="20"/>
              </w:rPr>
              <w:t xml:space="preserve">Provide institutional leadership and </w:t>
            </w:r>
            <w:r>
              <w:rPr>
                <w:rFonts w:eastAsia="Calibri" w:cs="Arial"/>
                <w:color w:val="000000" w:themeColor="text1"/>
                <w:sz w:val="20"/>
                <w:szCs w:val="20"/>
              </w:rPr>
              <w:t>maintain</w:t>
            </w:r>
            <w:r w:rsidRPr="5B7365AA">
              <w:rPr>
                <w:rFonts w:eastAsia="Calibri" w:cs="Arial"/>
                <w:color w:val="000000" w:themeColor="text1"/>
                <w:sz w:val="20"/>
                <w:szCs w:val="20"/>
              </w:rPr>
              <w:t xml:space="preserve"> dedicated </w:t>
            </w:r>
            <w:r w:rsidRPr="006E0144">
              <w:rPr>
                <w:rFonts w:eastAsia="Calibri" w:cs="Arial"/>
                <w:color w:val="000000" w:themeColor="text1"/>
                <w:sz w:val="20"/>
                <w:szCs w:val="20"/>
              </w:rPr>
              <w:t>support for civic engagement</w:t>
            </w:r>
            <w:r>
              <w:rPr>
                <w:rFonts w:eastAsia="Calibri" w:cs="Arial"/>
                <w:color w:val="000000" w:themeColor="text1"/>
                <w:sz w:val="20"/>
                <w:szCs w:val="20"/>
              </w:rPr>
              <w:t xml:space="preserve"> and associated events</w:t>
            </w:r>
            <w:r w:rsidRPr="006E0144">
              <w:rPr>
                <w:rFonts w:eastAsia="Calibri" w:cs="Arial"/>
                <w:color w:val="000000" w:themeColor="text1"/>
                <w:sz w:val="20"/>
                <w:szCs w:val="20"/>
              </w:rPr>
              <w:t>.</w:t>
            </w:r>
          </w:p>
          <w:p w14:paraId="4FDCAA12" w14:textId="0624A248" w:rsidR="009B7B2D" w:rsidRDefault="00AB4DEC" w:rsidP="00F15313">
            <w:pPr>
              <w:pStyle w:val="ListParagraph"/>
              <w:numPr>
                <w:ilvl w:val="0"/>
                <w:numId w:val="28"/>
              </w:numPr>
              <w:rPr>
                <w:rFonts w:eastAsia="Calibri" w:cs="Arial"/>
                <w:color w:val="000000" w:themeColor="text1"/>
                <w:sz w:val="20"/>
                <w:szCs w:val="20"/>
              </w:rPr>
            </w:pPr>
            <w:r w:rsidRPr="009B7B2D">
              <w:rPr>
                <w:rFonts w:eastAsia="Calibri" w:cs="Arial"/>
                <w:color w:val="000000" w:themeColor="text1"/>
                <w:sz w:val="20"/>
                <w:szCs w:val="20"/>
              </w:rPr>
              <w:t>Using established internal communication channels, ensure that the University community understands the range, breadth and depth of our civic engagement activities</w:t>
            </w:r>
            <w:r w:rsidR="00F15313">
              <w:rPr>
                <w:rFonts w:eastAsia="Calibri" w:cs="Arial"/>
                <w:color w:val="000000" w:themeColor="text1"/>
                <w:sz w:val="20"/>
                <w:szCs w:val="20"/>
              </w:rPr>
              <w:t>.</w:t>
            </w:r>
          </w:p>
          <w:p w14:paraId="30AFD88E" w14:textId="121268BD" w:rsidR="00AB4DEC" w:rsidRPr="009B7B2D" w:rsidRDefault="009B7B2D" w:rsidP="00F15313">
            <w:pPr>
              <w:pStyle w:val="ListParagraph"/>
              <w:numPr>
                <w:ilvl w:val="0"/>
                <w:numId w:val="28"/>
              </w:numPr>
              <w:rPr>
                <w:rFonts w:eastAsia="Calibri" w:cs="Arial"/>
                <w:color w:val="000000" w:themeColor="text1"/>
                <w:sz w:val="20"/>
                <w:szCs w:val="20"/>
              </w:rPr>
            </w:pPr>
            <w:r>
              <w:rPr>
                <w:rFonts w:eastAsia="Calibri" w:cs="Arial"/>
                <w:color w:val="000000" w:themeColor="text1"/>
                <w:sz w:val="20"/>
                <w:szCs w:val="20"/>
              </w:rPr>
              <w:t>U</w:t>
            </w:r>
            <w:r w:rsidR="00AB4DEC" w:rsidRPr="009B7B2D">
              <w:rPr>
                <w:rFonts w:eastAsia="Calibri" w:cs="Arial"/>
                <w:color w:val="000000" w:themeColor="text1"/>
                <w:sz w:val="20"/>
                <w:szCs w:val="20"/>
              </w:rPr>
              <w:t xml:space="preserve">se external communication channels effectively to ensure that external stakeholders understand what we do, and how we can work </w:t>
            </w:r>
            <w:r>
              <w:rPr>
                <w:rFonts w:eastAsia="Calibri" w:cs="Arial"/>
                <w:color w:val="000000" w:themeColor="text1"/>
                <w:sz w:val="20"/>
                <w:szCs w:val="20"/>
              </w:rPr>
              <w:t>collaboratively</w:t>
            </w:r>
            <w:r w:rsidR="00AB4DEC" w:rsidRPr="009B7B2D">
              <w:rPr>
                <w:rFonts w:eastAsia="Calibri" w:cs="Arial"/>
                <w:color w:val="000000" w:themeColor="text1"/>
                <w:sz w:val="20"/>
                <w:szCs w:val="20"/>
              </w:rPr>
              <w:t xml:space="preserve"> to achieve shared aims and aspirations. </w:t>
            </w:r>
          </w:p>
          <w:p w14:paraId="37687085" w14:textId="08F7CA78" w:rsidR="00AB4DEC" w:rsidRPr="006E0144" w:rsidRDefault="009815F2" w:rsidP="00F15313">
            <w:pPr>
              <w:pStyle w:val="ListParagraph"/>
              <w:numPr>
                <w:ilvl w:val="0"/>
                <w:numId w:val="28"/>
              </w:numPr>
              <w:rPr>
                <w:rFonts w:eastAsia="Calibri" w:cs="Arial"/>
                <w:color w:val="000000" w:themeColor="text1"/>
                <w:sz w:val="20"/>
                <w:szCs w:val="20"/>
              </w:rPr>
            </w:pPr>
            <w:r w:rsidRPr="006E0144">
              <w:rPr>
                <w:rFonts w:eastAsia="Calibri" w:cs="Arial"/>
                <w:color w:val="000000" w:themeColor="text1"/>
                <w:sz w:val="20"/>
                <w:szCs w:val="20"/>
              </w:rPr>
              <w:t xml:space="preserve">Maintain </w:t>
            </w:r>
            <w:r w:rsidR="00AB4DEC" w:rsidRPr="006E0144">
              <w:rPr>
                <w:rFonts w:eastAsia="Calibri" w:cs="Arial"/>
                <w:color w:val="000000" w:themeColor="text1"/>
                <w:sz w:val="20"/>
                <w:szCs w:val="20"/>
              </w:rPr>
              <w:t xml:space="preserve">bespoke webpages which </w:t>
            </w:r>
            <w:r w:rsidR="00F15313">
              <w:rPr>
                <w:rFonts w:eastAsia="Calibri" w:cs="Arial"/>
                <w:color w:val="000000" w:themeColor="text1"/>
                <w:sz w:val="20"/>
                <w:szCs w:val="20"/>
              </w:rPr>
              <w:t>highlight our</w:t>
            </w:r>
            <w:r w:rsidR="00AB4DEC" w:rsidRPr="006E0144">
              <w:rPr>
                <w:rFonts w:eastAsia="Calibri" w:cs="Arial"/>
                <w:color w:val="000000" w:themeColor="text1"/>
                <w:sz w:val="20"/>
                <w:szCs w:val="20"/>
              </w:rPr>
              <w:t xml:space="preserve"> civic engagement activities.</w:t>
            </w:r>
          </w:p>
          <w:p w14:paraId="3CB160A1" w14:textId="29727D49" w:rsidR="00AB4DEC" w:rsidRPr="00EF5F9C" w:rsidRDefault="00AB4DEC" w:rsidP="00F15313">
            <w:pPr>
              <w:pStyle w:val="ListParagraph"/>
              <w:numPr>
                <w:ilvl w:val="0"/>
                <w:numId w:val="28"/>
              </w:numPr>
              <w:rPr>
                <w:rFonts w:eastAsia="Calibri" w:cs="Arial"/>
                <w:color w:val="000000" w:themeColor="text1"/>
                <w:sz w:val="20"/>
                <w:szCs w:val="20"/>
              </w:rPr>
            </w:pPr>
            <w:r w:rsidRPr="00B27374">
              <w:rPr>
                <w:rFonts w:eastAsia="Calibri" w:cs="Arial"/>
                <w:color w:val="000000" w:themeColor="text1"/>
                <w:sz w:val="20"/>
                <w:szCs w:val="20"/>
              </w:rPr>
              <w:t>Collate case studies of e</w:t>
            </w:r>
            <w:r>
              <w:rPr>
                <w:rFonts w:eastAsia="Calibri" w:cs="Arial"/>
                <w:color w:val="000000" w:themeColor="text1"/>
                <w:sz w:val="20"/>
                <w:szCs w:val="20"/>
              </w:rPr>
              <w:t>stablished and emerging</w:t>
            </w:r>
            <w:r w:rsidRPr="00B27374">
              <w:rPr>
                <w:rFonts w:eastAsia="Calibri" w:cs="Arial"/>
                <w:color w:val="000000" w:themeColor="text1"/>
                <w:sz w:val="20"/>
                <w:szCs w:val="20"/>
              </w:rPr>
              <w:t xml:space="preserve"> partnerships and </w:t>
            </w:r>
            <w:r w:rsidR="00F15313">
              <w:rPr>
                <w:rFonts w:eastAsia="Calibri" w:cs="Arial"/>
                <w:color w:val="000000" w:themeColor="text1"/>
                <w:sz w:val="20"/>
                <w:szCs w:val="20"/>
              </w:rPr>
              <w:t>share these internally and externally.</w:t>
            </w:r>
            <w:r w:rsidRPr="00B27374">
              <w:rPr>
                <w:rFonts w:eastAsia="Calibri" w:cs="Arial"/>
                <w:color w:val="000000" w:themeColor="text1"/>
                <w:sz w:val="20"/>
                <w:szCs w:val="20"/>
              </w:rPr>
              <w:t xml:space="preserve">  </w:t>
            </w:r>
          </w:p>
          <w:p w14:paraId="7BD4D0CF" w14:textId="19321339" w:rsidR="00AB4DEC" w:rsidRDefault="00AB4DEC" w:rsidP="00F15313">
            <w:pPr>
              <w:pStyle w:val="ListParagraph"/>
              <w:numPr>
                <w:ilvl w:val="0"/>
                <w:numId w:val="28"/>
              </w:numPr>
              <w:rPr>
                <w:rFonts w:eastAsia="Calibri" w:cs="Arial"/>
                <w:color w:val="000000" w:themeColor="text1"/>
                <w:sz w:val="20"/>
                <w:szCs w:val="20"/>
              </w:rPr>
            </w:pPr>
            <w:r>
              <w:rPr>
                <w:rFonts w:eastAsia="Calibri" w:cs="Arial"/>
                <w:color w:val="000000" w:themeColor="text1"/>
                <w:sz w:val="20"/>
                <w:szCs w:val="20"/>
              </w:rPr>
              <w:t>Hold</w:t>
            </w:r>
            <w:r w:rsidRPr="595916AA">
              <w:rPr>
                <w:rFonts w:eastAsia="Calibri" w:cs="Arial"/>
                <w:color w:val="000000" w:themeColor="text1"/>
                <w:sz w:val="20"/>
                <w:szCs w:val="20"/>
              </w:rPr>
              <w:t xml:space="preserve"> a bi</w:t>
            </w:r>
            <w:r w:rsidR="006E0144">
              <w:rPr>
                <w:rFonts w:eastAsia="Calibri" w:cs="Arial"/>
                <w:color w:val="000000" w:themeColor="text1"/>
                <w:sz w:val="20"/>
                <w:szCs w:val="20"/>
              </w:rPr>
              <w:t>-</w:t>
            </w:r>
            <w:r w:rsidRPr="595916AA">
              <w:rPr>
                <w:rFonts w:eastAsia="Calibri" w:cs="Arial"/>
                <w:color w:val="000000" w:themeColor="text1"/>
                <w:sz w:val="20"/>
                <w:szCs w:val="20"/>
              </w:rPr>
              <w:t>annual Community Day to open our doors to the community to showcase our work, provide an opportunity for external stakeholders to engage with staff and students, and highlight the potential for partnership working.</w:t>
            </w:r>
          </w:p>
          <w:p w14:paraId="26678E8E" w14:textId="77777777" w:rsidR="00F15313" w:rsidRDefault="00F15313" w:rsidP="00F15313">
            <w:pPr>
              <w:pStyle w:val="ListParagraph"/>
              <w:numPr>
                <w:ilvl w:val="0"/>
                <w:numId w:val="28"/>
              </w:numPr>
              <w:rPr>
                <w:rFonts w:eastAsia="Calibri" w:cs="Arial"/>
                <w:color w:val="000000" w:themeColor="text1"/>
                <w:sz w:val="20"/>
                <w:szCs w:val="20"/>
              </w:rPr>
            </w:pPr>
            <w:r w:rsidRPr="006E0144">
              <w:rPr>
                <w:rFonts w:eastAsia="Calibri" w:cs="Arial"/>
                <w:color w:val="000000" w:themeColor="text1"/>
                <w:sz w:val="20"/>
                <w:szCs w:val="20"/>
              </w:rPr>
              <w:t xml:space="preserve">Promote student involvement in our community activities through working in partnership with the </w:t>
            </w:r>
            <w:r w:rsidRPr="5B7365AA">
              <w:rPr>
                <w:rFonts w:eastAsia="Calibri" w:cs="Arial"/>
                <w:color w:val="000000" w:themeColor="text1"/>
                <w:sz w:val="20"/>
                <w:szCs w:val="20"/>
              </w:rPr>
              <w:t>Students’ Union</w:t>
            </w:r>
            <w:r>
              <w:rPr>
                <w:rFonts w:eastAsia="Calibri" w:cs="Arial"/>
                <w:color w:val="000000" w:themeColor="text1"/>
                <w:sz w:val="20"/>
                <w:szCs w:val="20"/>
              </w:rPr>
              <w:t>.</w:t>
            </w:r>
          </w:p>
          <w:p w14:paraId="126E5AB7" w14:textId="77777777" w:rsidR="00F15313" w:rsidRPr="00311D4A" w:rsidRDefault="00F15313" w:rsidP="00F15313">
            <w:pPr>
              <w:pStyle w:val="ListParagraph"/>
              <w:numPr>
                <w:ilvl w:val="0"/>
                <w:numId w:val="28"/>
              </w:numPr>
              <w:rPr>
                <w:rFonts w:eastAsia="Calibri" w:cs="Arial"/>
                <w:color w:val="000000" w:themeColor="text1"/>
                <w:sz w:val="20"/>
                <w:szCs w:val="20"/>
              </w:rPr>
            </w:pPr>
            <w:r w:rsidRPr="5B7365AA">
              <w:rPr>
                <w:rFonts w:eastAsia="Calibri" w:cs="Arial"/>
                <w:color w:val="000000" w:themeColor="text1"/>
                <w:sz w:val="20"/>
                <w:szCs w:val="20"/>
              </w:rPr>
              <w:t xml:space="preserve">Develop the status and profile of </w:t>
            </w:r>
            <w:r>
              <w:rPr>
                <w:rFonts w:eastAsia="Calibri" w:cs="Arial"/>
                <w:color w:val="000000" w:themeColor="text1"/>
                <w:sz w:val="20"/>
                <w:szCs w:val="20"/>
              </w:rPr>
              <w:t>c</w:t>
            </w:r>
            <w:r w:rsidRPr="5B7365AA">
              <w:rPr>
                <w:rFonts w:eastAsia="Calibri" w:cs="Arial"/>
                <w:color w:val="000000" w:themeColor="text1"/>
                <w:sz w:val="20"/>
                <w:szCs w:val="20"/>
              </w:rPr>
              <w:t xml:space="preserve">ivic </w:t>
            </w:r>
            <w:r>
              <w:rPr>
                <w:rFonts w:eastAsia="Calibri" w:cs="Arial"/>
                <w:color w:val="000000" w:themeColor="text1"/>
                <w:sz w:val="20"/>
                <w:szCs w:val="20"/>
              </w:rPr>
              <w:t>e</w:t>
            </w:r>
            <w:r w:rsidRPr="5B7365AA">
              <w:rPr>
                <w:rFonts w:eastAsia="Calibri" w:cs="Arial"/>
                <w:color w:val="000000" w:themeColor="text1"/>
                <w:sz w:val="20"/>
                <w:szCs w:val="20"/>
              </w:rPr>
              <w:t xml:space="preserve">ngagement across the academic colleges and in professional services and ensure that </w:t>
            </w:r>
            <w:r>
              <w:rPr>
                <w:rFonts w:eastAsia="Calibri" w:cs="Arial"/>
                <w:color w:val="000000" w:themeColor="text1"/>
                <w:sz w:val="20"/>
                <w:szCs w:val="20"/>
              </w:rPr>
              <w:t>c</w:t>
            </w:r>
            <w:r w:rsidRPr="5B7365AA">
              <w:rPr>
                <w:rFonts w:eastAsia="Calibri" w:cs="Arial"/>
                <w:color w:val="000000" w:themeColor="text1"/>
                <w:sz w:val="20"/>
                <w:szCs w:val="20"/>
              </w:rPr>
              <w:t xml:space="preserve">ivic </w:t>
            </w:r>
            <w:r>
              <w:rPr>
                <w:rFonts w:eastAsia="Calibri" w:cs="Arial"/>
                <w:color w:val="000000" w:themeColor="text1"/>
                <w:sz w:val="20"/>
                <w:szCs w:val="20"/>
              </w:rPr>
              <w:t>e</w:t>
            </w:r>
            <w:r w:rsidRPr="5B7365AA">
              <w:rPr>
                <w:rFonts w:eastAsia="Calibri" w:cs="Arial"/>
                <w:color w:val="000000" w:themeColor="text1"/>
                <w:sz w:val="20"/>
                <w:szCs w:val="20"/>
              </w:rPr>
              <w:t>ngagement is ‘championed’ through new or existing roles</w:t>
            </w:r>
            <w:r>
              <w:rPr>
                <w:rFonts w:eastAsia="Calibri" w:cs="Arial"/>
                <w:color w:val="000000" w:themeColor="text1"/>
                <w:sz w:val="20"/>
                <w:szCs w:val="20"/>
              </w:rPr>
              <w:t xml:space="preserve"> (e.g. via dedicated school/college/department web pages).</w:t>
            </w:r>
          </w:p>
          <w:p w14:paraId="268C8A0C" w14:textId="04E77A2B" w:rsidR="007E6CAB" w:rsidRPr="007E6CAB" w:rsidRDefault="007E6CAB" w:rsidP="00AB4DEC">
            <w:pPr>
              <w:rPr>
                <w:rFonts w:eastAsia="Calibri" w:cs="Arial"/>
                <w:color w:val="000000" w:themeColor="text1"/>
                <w:sz w:val="20"/>
                <w:szCs w:val="20"/>
              </w:rPr>
            </w:pPr>
          </w:p>
        </w:tc>
      </w:tr>
      <w:tr w:rsidR="00714538" w:rsidRPr="006810E6" w14:paraId="3B196622" w14:textId="77777777" w:rsidTr="00D04D18">
        <w:tc>
          <w:tcPr>
            <w:tcW w:w="9628" w:type="dxa"/>
            <w:shd w:val="clear" w:color="auto" w:fill="BFBFBF" w:themeFill="background1" w:themeFillShade="BF"/>
          </w:tcPr>
          <w:p w14:paraId="59876ACF" w14:textId="7344DBED" w:rsidR="00543FB9" w:rsidRPr="00AB4DEC" w:rsidRDefault="00AB4DEC" w:rsidP="00AB4DEC">
            <w:pPr>
              <w:pStyle w:val="ListParagraph"/>
              <w:numPr>
                <w:ilvl w:val="0"/>
                <w:numId w:val="19"/>
              </w:numPr>
              <w:rPr>
                <w:rFonts w:eastAsia="Calibri" w:cs="Arial"/>
                <w:b/>
                <w:bCs/>
                <w:color w:val="000000" w:themeColor="text1"/>
                <w:sz w:val="20"/>
                <w:szCs w:val="20"/>
              </w:rPr>
            </w:pPr>
            <w:r>
              <w:rPr>
                <w:rFonts w:eastAsia="Calibri" w:cs="Arial"/>
                <w:b/>
                <w:bCs/>
                <w:color w:val="000000" w:themeColor="text1"/>
                <w:sz w:val="20"/>
                <w:szCs w:val="20"/>
              </w:rPr>
              <w:t xml:space="preserve">Improve information sharing and facilitate collaboration between the University and its stakeholders </w:t>
            </w:r>
          </w:p>
        </w:tc>
      </w:tr>
      <w:tr w:rsidR="00714538" w:rsidRPr="006810E6" w14:paraId="53E57084" w14:textId="77777777" w:rsidTr="00D04D18">
        <w:tc>
          <w:tcPr>
            <w:tcW w:w="9628" w:type="dxa"/>
            <w:shd w:val="clear" w:color="auto" w:fill="auto"/>
          </w:tcPr>
          <w:p w14:paraId="29D9CE44" w14:textId="77777777" w:rsidR="005667D2" w:rsidRDefault="005667D2" w:rsidP="00AB4DEC">
            <w:pPr>
              <w:rPr>
                <w:rFonts w:eastAsia="Calibri" w:cs="Arial"/>
                <w:color w:val="000000" w:themeColor="text1"/>
                <w:sz w:val="20"/>
                <w:szCs w:val="20"/>
              </w:rPr>
            </w:pPr>
          </w:p>
          <w:p w14:paraId="35077C09" w14:textId="550E0F40" w:rsidR="00AB4DEC" w:rsidRPr="009B7B2D" w:rsidRDefault="00230130" w:rsidP="00AB4DEC">
            <w:pPr>
              <w:pStyle w:val="ListParagraph"/>
              <w:numPr>
                <w:ilvl w:val="0"/>
                <w:numId w:val="38"/>
              </w:numPr>
              <w:rPr>
                <w:rFonts w:eastAsia="Calibri" w:cs="Arial"/>
                <w:color w:val="000000" w:themeColor="text1"/>
                <w:sz w:val="20"/>
                <w:szCs w:val="20"/>
              </w:rPr>
            </w:pPr>
            <w:r>
              <w:rPr>
                <w:rFonts w:eastAsia="Calibri" w:cs="Arial"/>
                <w:color w:val="000000" w:themeColor="text1"/>
                <w:sz w:val="20"/>
                <w:szCs w:val="20"/>
              </w:rPr>
              <w:t>Actively explore opportunities to p</w:t>
            </w:r>
            <w:r w:rsidR="00AB4DEC" w:rsidRPr="009B7B2D">
              <w:rPr>
                <w:rFonts w:eastAsia="Calibri" w:cs="Arial"/>
                <w:color w:val="000000" w:themeColor="text1"/>
                <w:sz w:val="20"/>
                <w:szCs w:val="20"/>
              </w:rPr>
              <w:t xml:space="preserve">romote the engagement of the institution with </w:t>
            </w:r>
            <w:r>
              <w:rPr>
                <w:rFonts w:eastAsia="Calibri" w:cs="Arial"/>
                <w:color w:val="000000" w:themeColor="text1"/>
                <w:sz w:val="20"/>
                <w:szCs w:val="20"/>
              </w:rPr>
              <w:t>external</w:t>
            </w:r>
            <w:r w:rsidR="00AB4DEC" w:rsidRPr="009B7B2D">
              <w:rPr>
                <w:rFonts w:eastAsia="Calibri" w:cs="Arial"/>
                <w:color w:val="000000" w:themeColor="text1"/>
                <w:sz w:val="20"/>
                <w:szCs w:val="20"/>
              </w:rPr>
              <w:t xml:space="preserve"> stakeholders through two-way knowledge exchanges</w:t>
            </w:r>
            <w:r>
              <w:rPr>
                <w:rFonts w:eastAsia="Calibri" w:cs="Arial"/>
                <w:color w:val="000000" w:themeColor="text1"/>
                <w:sz w:val="20"/>
                <w:szCs w:val="20"/>
              </w:rPr>
              <w:t>.</w:t>
            </w:r>
          </w:p>
          <w:p w14:paraId="7B2E3211" w14:textId="4307A215" w:rsidR="00AB4DEC" w:rsidRDefault="00600FEE" w:rsidP="00AB4DEC">
            <w:pPr>
              <w:pStyle w:val="ListParagraph"/>
              <w:numPr>
                <w:ilvl w:val="0"/>
                <w:numId w:val="32"/>
              </w:numPr>
              <w:rPr>
                <w:rFonts w:eastAsia="Calibri" w:cs="Arial"/>
                <w:color w:val="000000" w:themeColor="text1"/>
                <w:sz w:val="20"/>
                <w:szCs w:val="20"/>
              </w:rPr>
            </w:pPr>
            <w:r>
              <w:rPr>
                <w:rFonts w:eastAsia="Calibri" w:cs="Arial"/>
                <w:color w:val="000000" w:themeColor="text1"/>
                <w:sz w:val="20"/>
                <w:szCs w:val="20"/>
              </w:rPr>
              <w:t>Maintain a</w:t>
            </w:r>
            <w:r w:rsidR="00AB4DEC" w:rsidRPr="5B7365AA">
              <w:rPr>
                <w:rFonts w:eastAsia="Calibri" w:cs="Arial"/>
                <w:color w:val="000000" w:themeColor="text1"/>
                <w:sz w:val="20"/>
                <w:szCs w:val="20"/>
              </w:rPr>
              <w:t xml:space="preserve"> Community Board </w:t>
            </w:r>
            <w:r>
              <w:rPr>
                <w:rFonts w:eastAsia="Calibri" w:cs="Arial"/>
                <w:color w:val="000000" w:themeColor="text1"/>
                <w:sz w:val="20"/>
                <w:szCs w:val="20"/>
              </w:rPr>
              <w:t xml:space="preserve">which </w:t>
            </w:r>
            <w:r w:rsidR="00AB4DEC" w:rsidRPr="5B7365AA">
              <w:rPr>
                <w:rFonts w:eastAsia="Calibri" w:cs="Arial"/>
                <w:color w:val="000000" w:themeColor="text1"/>
                <w:sz w:val="20"/>
                <w:szCs w:val="20"/>
              </w:rPr>
              <w:t>draws together a broad range of stakeholders from the public, private and voluntary sectors</w:t>
            </w:r>
            <w:r>
              <w:rPr>
                <w:rFonts w:eastAsia="Calibri" w:cs="Arial"/>
                <w:color w:val="000000" w:themeColor="text1"/>
                <w:sz w:val="20"/>
                <w:szCs w:val="20"/>
              </w:rPr>
              <w:t>.</w:t>
            </w:r>
          </w:p>
          <w:p w14:paraId="3643BD59" w14:textId="39C813F1" w:rsidR="00AB4DEC" w:rsidRPr="00FD4F2D" w:rsidRDefault="00230130" w:rsidP="00FD4F2D">
            <w:pPr>
              <w:pStyle w:val="ListParagraph"/>
              <w:numPr>
                <w:ilvl w:val="0"/>
                <w:numId w:val="32"/>
              </w:numPr>
              <w:rPr>
                <w:rFonts w:eastAsia="Calibri" w:cs="Arial"/>
                <w:color w:val="000000" w:themeColor="text1"/>
                <w:sz w:val="20"/>
                <w:szCs w:val="20"/>
              </w:rPr>
            </w:pPr>
            <w:r>
              <w:rPr>
                <w:rFonts w:eastAsia="Calibri" w:cs="Arial"/>
                <w:color w:val="000000" w:themeColor="text1"/>
                <w:sz w:val="20"/>
                <w:szCs w:val="20"/>
              </w:rPr>
              <w:t>O</w:t>
            </w:r>
            <w:r w:rsidR="00600FEE">
              <w:rPr>
                <w:rFonts w:eastAsia="Calibri" w:cs="Arial"/>
                <w:color w:val="000000" w:themeColor="text1"/>
                <w:sz w:val="20"/>
                <w:szCs w:val="20"/>
              </w:rPr>
              <w:t>rganis</w:t>
            </w:r>
            <w:r>
              <w:rPr>
                <w:rFonts w:eastAsia="Calibri" w:cs="Arial"/>
                <w:color w:val="000000" w:themeColor="text1"/>
                <w:sz w:val="20"/>
                <w:szCs w:val="20"/>
              </w:rPr>
              <w:t>e</w:t>
            </w:r>
            <w:r w:rsidR="00600FEE">
              <w:rPr>
                <w:rFonts w:eastAsia="Calibri" w:cs="Arial"/>
                <w:color w:val="000000" w:themeColor="text1"/>
                <w:sz w:val="20"/>
                <w:szCs w:val="20"/>
              </w:rPr>
              <w:t xml:space="preserve"> public-facing events</w:t>
            </w:r>
            <w:r>
              <w:rPr>
                <w:rFonts w:eastAsia="Calibri" w:cs="Arial"/>
                <w:color w:val="000000" w:themeColor="text1"/>
                <w:sz w:val="20"/>
                <w:szCs w:val="20"/>
              </w:rPr>
              <w:t xml:space="preserve"> which highlight </w:t>
            </w:r>
            <w:r w:rsidR="00FD4F2D">
              <w:rPr>
                <w:rFonts w:eastAsia="Calibri" w:cs="Arial"/>
                <w:color w:val="000000" w:themeColor="text1"/>
                <w:sz w:val="20"/>
                <w:szCs w:val="20"/>
              </w:rPr>
              <w:t xml:space="preserve">and expand </w:t>
            </w:r>
            <w:r w:rsidRPr="00FD4F2D">
              <w:rPr>
                <w:rFonts w:eastAsia="Calibri" w:cs="Arial"/>
                <w:color w:val="000000" w:themeColor="text1"/>
                <w:sz w:val="20"/>
                <w:szCs w:val="20"/>
              </w:rPr>
              <w:t>the collaboration between the University and its external stakeholders.</w:t>
            </w:r>
          </w:p>
          <w:p w14:paraId="5FC3CCE2" w14:textId="7482A937" w:rsidR="00AB4DEC" w:rsidRPr="0002510A" w:rsidRDefault="00AB4DEC" w:rsidP="00AB4DEC">
            <w:pPr>
              <w:pStyle w:val="ListParagraph"/>
              <w:numPr>
                <w:ilvl w:val="0"/>
                <w:numId w:val="32"/>
              </w:numPr>
              <w:rPr>
                <w:rFonts w:eastAsia="Calibri" w:cs="Arial"/>
                <w:color w:val="000000" w:themeColor="text1"/>
                <w:sz w:val="20"/>
                <w:szCs w:val="20"/>
              </w:rPr>
            </w:pPr>
            <w:r w:rsidRPr="0002510A">
              <w:rPr>
                <w:rFonts w:eastAsia="Calibri" w:cs="Arial"/>
                <w:color w:val="000000" w:themeColor="text1"/>
                <w:sz w:val="20"/>
                <w:szCs w:val="20"/>
              </w:rPr>
              <w:t xml:space="preserve">Embed </w:t>
            </w:r>
            <w:r w:rsidR="00600FEE" w:rsidRPr="0002510A">
              <w:rPr>
                <w:rFonts w:eastAsia="Calibri" w:cs="Arial"/>
                <w:color w:val="000000" w:themeColor="text1"/>
                <w:sz w:val="20"/>
                <w:szCs w:val="20"/>
              </w:rPr>
              <w:t>our</w:t>
            </w:r>
            <w:r w:rsidRPr="0002510A">
              <w:rPr>
                <w:rFonts w:eastAsia="Calibri" w:cs="Arial"/>
                <w:color w:val="000000" w:themeColor="text1"/>
                <w:sz w:val="20"/>
                <w:szCs w:val="20"/>
              </w:rPr>
              <w:t xml:space="preserve"> commitment to civic engagement through membership and </w:t>
            </w:r>
            <w:r w:rsidR="00600FEE" w:rsidRPr="0002510A">
              <w:rPr>
                <w:rFonts w:eastAsia="Calibri" w:cs="Arial"/>
                <w:color w:val="000000" w:themeColor="text1"/>
                <w:sz w:val="20"/>
                <w:szCs w:val="20"/>
              </w:rPr>
              <w:t xml:space="preserve">active participation in </w:t>
            </w:r>
            <w:r w:rsidRPr="0002510A">
              <w:rPr>
                <w:rFonts w:eastAsia="Calibri" w:cs="Arial"/>
                <w:color w:val="000000" w:themeColor="text1"/>
                <w:sz w:val="20"/>
                <w:szCs w:val="20"/>
              </w:rPr>
              <w:t>national community engagement networks</w:t>
            </w:r>
            <w:r w:rsidR="00600FEE" w:rsidRPr="0002510A">
              <w:rPr>
                <w:rFonts w:eastAsia="Calibri" w:cs="Arial"/>
                <w:color w:val="000000" w:themeColor="text1"/>
                <w:sz w:val="20"/>
                <w:szCs w:val="20"/>
              </w:rPr>
              <w:t xml:space="preserve"> (e.g. Welsh Civic Mission Network).</w:t>
            </w:r>
          </w:p>
          <w:p w14:paraId="2DD3DFFA" w14:textId="77777777" w:rsidR="00AB4DEC" w:rsidRPr="00705233" w:rsidRDefault="00AB4DEC" w:rsidP="00AB4DEC">
            <w:pPr>
              <w:pStyle w:val="ListParagraph"/>
              <w:numPr>
                <w:ilvl w:val="0"/>
                <w:numId w:val="32"/>
              </w:numPr>
              <w:rPr>
                <w:rFonts w:eastAsia="Calibri" w:cs="Arial"/>
                <w:color w:val="000000" w:themeColor="text1"/>
                <w:sz w:val="20"/>
                <w:szCs w:val="20"/>
              </w:rPr>
            </w:pPr>
            <w:r w:rsidRPr="00705233">
              <w:rPr>
                <w:rFonts w:eastAsia="Calibri" w:cs="Arial"/>
                <w:color w:val="000000" w:themeColor="text1"/>
                <w:sz w:val="20"/>
                <w:szCs w:val="20"/>
              </w:rPr>
              <w:t>Engage in evidence-gathering with local communities via polling and consultation</w:t>
            </w:r>
            <w:r>
              <w:rPr>
                <w:rFonts w:eastAsia="Calibri" w:cs="Arial"/>
                <w:color w:val="000000" w:themeColor="text1"/>
                <w:sz w:val="20"/>
                <w:szCs w:val="20"/>
              </w:rPr>
              <w:t>.</w:t>
            </w:r>
          </w:p>
          <w:p w14:paraId="3444346A" w14:textId="4A7262D2" w:rsidR="00AB4DEC" w:rsidRPr="00230130" w:rsidRDefault="00230130" w:rsidP="00230130">
            <w:pPr>
              <w:pStyle w:val="ListParagraph"/>
              <w:numPr>
                <w:ilvl w:val="0"/>
                <w:numId w:val="32"/>
              </w:numPr>
              <w:rPr>
                <w:rFonts w:eastAsia="Calibri" w:cs="Arial"/>
                <w:color w:val="000000" w:themeColor="text1"/>
                <w:sz w:val="20"/>
                <w:szCs w:val="20"/>
              </w:rPr>
            </w:pPr>
            <w:r>
              <w:rPr>
                <w:rFonts w:eastAsia="Calibri" w:cs="Arial"/>
                <w:color w:val="000000" w:themeColor="text1"/>
                <w:sz w:val="20"/>
                <w:szCs w:val="20"/>
              </w:rPr>
              <w:t xml:space="preserve">Maintain a </w:t>
            </w:r>
            <w:r w:rsidR="00AB4DEC" w:rsidRPr="000C4C61">
              <w:rPr>
                <w:rFonts w:eastAsia="Calibri" w:cs="Arial"/>
                <w:color w:val="000000" w:themeColor="text1"/>
                <w:sz w:val="20"/>
                <w:szCs w:val="20"/>
              </w:rPr>
              <w:t xml:space="preserve">strong relationship with </w:t>
            </w:r>
            <w:r>
              <w:rPr>
                <w:rFonts w:eastAsia="Calibri" w:cs="Arial"/>
                <w:color w:val="000000" w:themeColor="text1"/>
                <w:sz w:val="20"/>
                <w:szCs w:val="20"/>
              </w:rPr>
              <w:t xml:space="preserve">the Gwynedd and Mon </w:t>
            </w:r>
            <w:r w:rsidR="00AB4DEC" w:rsidRPr="000C4C61">
              <w:rPr>
                <w:rFonts w:eastAsia="Calibri" w:cs="Arial"/>
                <w:color w:val="000000" w:themeColor="text1"/>
                <w:sz w:val="20"/>
                <w:szCs w:val="20"/>
              </w:rPr>
              <w:t>Public Service</w:t>
            </w:r>
            <w:r w:rsidR="00AB4DEC" w:rsidRPr="00230130">
              <w:rPr>
                <w:rFonts w:eastAsia="Calibri" w:cs="Arial"/>
                <w:color w:val="000000" w:themeColor="text1"/>
                <w:sz w:val="20"/>
                <w:szCs w:val="20"/>
              </w:rPr>
              <w:t xml:space="preserve"> Board.</w:t>
            </w:r>
          </w:p>
          <w:p w14:paraId="379BA1FF" w14:textId="4C866799" w:rsidR="00AB4DEC" w:rsidRPr="008E14A7" w:rsidRDefault="00AB4DEC" w:rsidP="00AB4DEC">
            <w:pPr>
              <w:pStyle w:val="ListParagraph"/>
              <w:numPr>
                <w:ilvl w:val="0"/>
                <w:numId w:val="32"/>
              </w:numPr>
              <w:rPr>
                <w:rFonts w:eastAsia="Calibri" w:cs="Arial"/>
                <w:color w:val="000000" w:themeColor="text1"/>
                <w:sz w:val="20"/>
                <w:szCs w:val="20"/>
              </w:rPr>
            </w:pPr>
            <w:r>
              <w:rPr>
                <w:rFonts w:eastAsia="Calibri" w:cs="Arial"/>
                <w:color w:val="000000" w:themeColor="text1"/>
                <w:sz w:val="20"/>
                <w:szCs w:val="20"/>
              </w:rPr>
              <w:t xml:space="preserve">Work </w:t>
            </w:r>
            <w:r w:rsidR="00230130">
              <w:rPr>
                <w:rFonts w:eastAsia="Calibri" w:cs="Arial"/>
                <w:color w:val="000000" w:themeColor="text1"/>
                <w:sz w:val="20"/>
                <w:szCs w:val="20"/>
              </w:rPr>
              <w:t xml:space="preserve">proactively </w:t>
            </w:r>
            <w:r>
              <w:rPr>
                <w:rFonts w:eastAsia="Calibri" w:cs="Arial"/>
                <w:color w:val="000000" w:themeColor="text1"/>
                <w:sz w:val="20"/>
                <w:szCs w:val="20"/>
              </w:rPr>
              <w:t>with community groups and networks</w:t>
            </w:r>
            <w:r w:rsidRPr="00252A62">
              <w:rPr>
                <w:rFonts w:eastAsia="Calibri" w:cs="Arial"/>
                <w:color w:val="000000" w:themeColor="text1"/>
                <w:sz w:val="20"/>
                <w:szCs w:val="20"/>
              </w:rPr>
              <w:t xml:space="preserve"> across the region, ensuring that </w:t>
            </w:r>
            <w:r>
              <w:rPr>
                <w:rFonts w:eastAsia="Calibri" w:cs="Arial"/>
                <w:color w:val="000000" w:themeColor="text1"/>
                <w:sz w:val="20"/>
                <w:szCs w:val="20"/>
              </w:rPr>
              <w:t xml:space="preserve">we have a shared understanding of priorities and </w:t>
            </w:r>
            <w:r w:rsidRPr="00252A62">
              <w:rPr>
                <w:rFonts w:eastAsia="Calibri" w:cs="Arial"/>
                <w:color w:val="000000" w:themeColor="text1"/>
                <w:sz w:val="20"/>
                <w:szCs w:val="20"/>
              </w:rPr>
              <w:t>objectives</w:t>
            </w:r>
            <w:r w:rsidR="00230130">
              <w:rPr>
                <w:rFonts w:eastAsia="Calibri" w:cs="Arial"/>
                <w:color w:val="000000" w:themeColor="text1"/>
                <w:sz w:val="20"/>
                <w:szCs w:val="20"/>
              </w:rPr>
              <w:t xml:space="preserve"> (e.g. via Community Board and participation in external events).</w:t>
            </w:r>
          </w:p>
          <w:p w14:paraId="3DDB4159" w14:textId="66C47265" w:rsidR="00AB4DEC" w:rsidRDefault="00AB4DEC" w:rsidP="00AB4DEC">
            <w:pPr>
              <w:pStyle w:val="ListParagraph"/>
              <w:numPr>
                <w:ilvl w:val="0"/>
                <w:numId w:val="32"/>
              </w:numPr>
              <w:rPr>
                <w:rFonts w:eastAsia="Calibri" w:cs="Arial"/>
                <w:color w:val="000000" w:themeColor="text1"/>
                <w:sz w:val="20"/>
                <w:szCs w:val="20"/>
              </w:rPr>
            </w:pPr>
            <w:r w:rsidRPr="595916AA">
              <w:rPr>
                <w:rFonts w:eastAsia="Calibri" w:cs="Arial"/>
                <w:color w:val="000000" w:themeColor="text1"/>
                <w:sz w:val="20"/>
                <w:szCs w:val="20"/>
              </w:rPr>
              <w:t xml:space="preserve">Establish </w:t>
            </w:r>
            <w:r w:rsidR="00600FEE">
              <w:rPr>
                <w:rFonts w:eastAsia="Calibri" w:cs="Arial"/>
                <w:color w:val="000000" w:themeColor="text1"/>
                <w:sz w:val="20"/>
                <w:szCs w:val="20"/>
              </w:rPr>
              <w:t xml:space="preserve">a </w:t>
            </w:r>
            <w:r w:rsidRPr="595916AA">
              <w:rPr>
                <w:rFonts w:eastAsia="Calibri" w:cs="Arial"/>
                <w:color w:val="000000" w:themeColor="text1"/>
                <w:sz w:val="20"/>
                <w:szCs w:val="20"/>
              </w:rPr>
              <w:t xml:space="preserve">programme of events in collaboration with external partners. </w:t>
            </w:r>
          </w:p>
          <w:p w14:paraId="1F66C9CD" w14:textId="5B41465A" w:rsidR="00AB4DEC" w:rsidRPr="008E14A7" w:rsidRDefault="00AB4DEC" w:rsidP="00AB4DEC">
            <w:pPr>
              <w:pStyle w:val="ListParagraph"/>
              <w:numPr>
                <w:ilvl w:val="0"/>
                <w:numId w:val="32"/>
              </w:numPr>
              <w:rPr>
                <w:rFonts w:eastAsia="Calibri" w:cs="Arial"/>
                <w:color w:val="000000" w:themeColor="text1"/>
                <w:sz w:val="20"/>
                <w:szCs w:val="20"/>
              </w:rPr>
            </w:pPr>
            <w:r w:rsidRPr="595916AA">
              <w:rPr>
                <w:rFonts w:eastAsia="Calibri" w:cs="Arial"/>
                <w:color w:val="000000" w:themeColor="text1"/>
                <w:sz w:val="20"/>
                <w:szCs w:val="20"/>
              </w:rPr>
              <w:t xml:space="preserve">Ensure that the </w:t>
            </w:r>
            <w:r>
              <w:rPr>
                <w:rFonts w:eastAsia="Calibri" w:cs="Arial"/>
                <w:color w:val="000000" w:themeColor="text1"/>
                <w:sz w:val="20"/>
                <w:szCs w:val="20"/>
              </w:rPr>
              <w:t>c</w:t>
            </w:r>
            <w:r w:rsidRPr="595916AA">
              <w:rPr>
                <w:rFonts w:eastAsia="Calibri" w:cs="Arial"/>
                <w:color w:val="000000" w:themeColor="text1"/>
                <w:sz w:val="20"/>
                <w:szCs w:val="20"/>
              </w:rPr>
              <w:t xml:space="preserve">ivic </w:t>
            </w:r>
            <w:r>
              <w:rPr>
                <w:rFonts w:eastAsia="Calibri" w:cs="Arial"/>
                <w:color w:val="000000" w:themeColor="text1"/>
                <w:sz w:val="20"/>
                <w:szCs w:val="20"/>
              </w:rPr>
              <w:t>e</w:t>
            </w:r>
            <w:r w:rsidRPr="595916AA">
              <w:rPr>
                <w:rFonts w:eastAsia="Calibri" w:cs="Arial"/>
                <w:color w:val="000000" w:themeColor="text1"/>
                <w:sz w:val="20"/>
                <w:szCs w:val="20"/>
              </w:rPr>
              <w:t>ngagement unit works with colleagues to identify collaboration and funding opportunities and act</w:t>
            </w:r>
            <w:r w:rsidR="00230130">
              <w:rPr>
                <w:rFonts w:eastAsia="Calibri" w:cs="Arial"/>
                <w:color w:val="000000" w:themeColor="text1"/>
                <w:sz w:val="20"/>
                <w:szCs w:val="20"/>
              </w:rPr>
              <w:t>s</w:t>
            </w:r>
            <w:r w:rsidRPr="595916AA">
              <w:rPr>
                <w:rFonts w:eastAsia="Calibri" w:cs="Arial"/>
                <w:color w:val="000000" w:themeColor="text1"/>
                <w:sz w:val="20"/>
                <w:szCs w:val="20"/>
              </w:rPr>
              <w:t xml:space="preserve"> as a point of contact for external enquiries related to our strategic aims.</w:t>
            </w:r>
          </w:p>
          <w:p w14:paraId="1E03EE11" w14:textId="5A40B5E6" w:rsidR="00F27CAA" w:rsidRPr="00AB4DEC" w:rsidRDefault="00AB4DEC" w:rsidP="007E6CAB">
            <w:pPr>
              <w:pStyle w:val="ListParagraph"/>
              <w:numPr>
                <w:ilvl w:val="0"/>
                <w:numId w:val="32"/>
              </w:numPr>
              <w:rPr>
                <w:rFonts w:eastAsia="Calibri" w:cs="Arial"/>
                <w:color w:val="000000" w:themeColor="text1"/>
                <w:sz w:val="20"/>
                <w:szCs w:val="20"/>
              </w:rPr>
            </w:pPr>
            <w:r>
              <w:rPr>
                <w:rFonts w:eastAsia="Calibri" w:cs="Arial"/>
                <w:color w:val="000000" w:themeColor="text1"/>
                <w:sz w:val="20"/>
                <w:szCs w:val="20"/>
              </w:rPr>
              <w:t>M</w:t>
            </w:r>
            <w:r w:rsidRPr="595916AA">
              <w:rPr>
                <w:rFonts w:eastAsia="Calibri" w:cs="Arial"/>
                <w:color w:val="000000" w:themeColor="text1"/>
                <w:sz w:val="20"/>
                <w:szCs w:val="20"/>
              </w:rPr>
              <w:t xml:space="preserve">aintain a </w:t>
            </w:r>
            <w:r w:rsidRPr="595916AA">
              <w:rPr>
                <w:rFonts w:eastAsia="Calibri" w:cs="Arial"/>
                <w:i/>
                <w:iCs/>
                <w:color w:val="000000" w:themeColor="text1"/>
                <w:sz w:val="20"/>
                <w:szCs w:val="20"/>
              </w:rPr>
              <w:t>Community Fund</w:t>
            </w:r>
            <w:r w:rsidRPr="595916AA">
              <w:rPr>
                <w:rFonts w:eastAsia="Calibri" w:cs="Arial"/>
                <w:color w:val="000000" w:themeColor="text1"/>
                <w:sz w:val="20"/>
                <w:szCs w:val="20"/>
              </w:rPr>
              <w:t xml:space="preserve"> </w:t>
            </w:r>
            <w:r w:rsidR="00230130">
              <w:rPr>
                <w:rFonts w:eastAsia="Calibri" w:cs="Arial"/>
                <w:color w:val="000000" w:themeColor="text1"/>
                <w:sz w:val="20"/>
                <w:szCs w:val="20"/>
              </w:rPr>
              <w:t xml:space="preserve">for staff </w:t>
            </w:r>
            <w:r w:rsidRPr="595916AA">
              <w:rPr>
                <w:rFonts w:eastAsia="Calibri" w:cs="Arial"/>
                <w:color w:val="000000" w:themeColor="text1"/>
                <w:sz w:val="20"/>
                <w:szCs w:val="20"/>
              </w:rPr>
              <w:t>to facilitate ‘pump-priming’ civic engagement activities and partnership</w:t>
            </w:r>
            <w:r w:rsidR="00230130">
              <w:rPr>
                <w:rFonts w:eastAsia="Calibri" w:cs="Arial"/>
                <w:color w:val="000000" w:themeColor="text1"/>
                <w:sz w:val="20"/>
                <w:szCs w:val="20"/>
              </w:rPr>
              <w:t xml:space="preserve"> building</w:t>
            </w:r>
            <w:r w:rsidRPr="595916AA">
              <w:rPr>
                <w:rFonts w:eastAsia="Calibri" w:cs="Arial"/>
                <w:color w:val="000000" w:themeColor="text1"/>
                <w:sz w:val="20"/>
                <w:szCs w:val="20"/>
              </w:rPr>
              <w:t>.</w:t>
            </w:r>
          </w:p>
          <w:p w14:paraId="53C8A818" w14:textId="71C141BD" w:rsidR="007E6CAB" w:rsidRPr="007E6CAB" w:rsidRDefault="007E6CAB" w:rsidP="007E6CAB">
            <w:pPr>
              <w:rPr>
                <w:rFonts w:eastAsia="Calibri" w:cs="Arial"/>
                <w:color w:val="000000" w:themeColor="text1"/>
                <w:sz w:val="20"/>
                <w:szCs w:val="20"/>
              </w:rPr>
            </w:pPr>
          </w:p>
        </w:tc>
      </w:tr>
      <w:tr w:rsidR="00714538" w:rsidRPr="006810E6" w14:paraId="6198A1E6" w14:textId="77777777" w:rsidTr="00D04D18">
        <w:tc>
          <w:tcPr>
            <w:tcW w:w="9628" w:type="dxa"/>
            <w:shd w:val="clear" w:color="auto" w:fill="BFBFBF" w:themeFill="background1" w:themeFillShade="BF"/>
          </w:tcPr>
          <w:p w14:paraId="3CB0B18F" w14:textId="322D877F" w:rsidR="00543FB9" w:rsidRPr="00AB4DEC" w:rsidRDefault="00AB4DEC" w:rsidP="00AB4DEC">
            <w:pPr>
              <w:pStyle w:val="ListParagraph"/>
              <w:numPr>
                <w:ilvl w:val="0"/>
                <w:numId w:val="19"/>
              </w:numPr>
              <w:rPr>
                <w:rFonts w:eastAsia="Calibri" w:cs="Arial"/>
                <w:b/>
                <w:bCs/>
                <w:color w:val="000000" w:themeColor="text1"/>
                <w:sz w:val="20"/>
                <w:szCs w:val="20"/>
              </w:rPr>
            </w:pPr>
            <w:r>
              <w:rPr>
                <w:rFonts w:eastAsia="Calibri" w:cs="Arial"/>
                <w:b/>
                <w:bCs/>
                <w:color w:val="000000" w:themeColor="text1"/>
                <w:sz w:val="20"/>
                <w:szCs w:val="20"/>
              </w:rPr>
              <w:t xml:space="preserve">Work </w:t>
            </w:r>
            <w:r w:rsidRPr="004E4763">
              <w:rPr>
                <w:rFonts w:eastAsia="Calibri" w:cs="Arial"/>
                <w:b/>
                <w:bCs/>
                <w:color w:val="000000" w:themeColor="text1"/>
                <w:sz w:val="20"/>
                <w:szCs w:val="20"/>
              </w:rPr>
              <w:t xml:space="preserve">with </w:t>
            </w:r>
            <w:r>
              <w:rPr>
                <w:rFonts w:eastAsia="Calibri" w:cs="Arial"/>
                <w:b/>
                <w:bCs/>
                <w:color w:val="000000" w:themeColor="text1"/>
                <w:sz w:val="20"/>
                <w:szCs w:val="20"/>
              </w:rPr>
              <w:t xml:space="preserve">external </w:t>
            </w:r>
            <w:r w:rsidRPr="004E4763">
              <w:rPr>
                <w:rFonts w:eastAsia="Calibri" w:cs="Arial"/>
                <w:b/>
                <w:bCs/>
                <w:color w:val="000000" w:themeColor="text1"/>
                <w:sz w:val="20"/>
                <w:szCs w:val="20"/>
              </w:rPr>
              <w:t xml:space="preserve">stakeholders to identify and address </w:t>
            </w:r>
            <w:r>
              <w:rPr>
                <w:rFonts w:eastAsia="Calibri" w:cs="Arial"/>
                <w:b/>
                <w:bCs/>
                <w:color w:val="000000" w:themeColor="text1"/>
                <w:sz w:val="20"/>
                <w:szCs w:val="20"/>
              </w:rPr>
              <w:t xml:space="preserve">societal </w:t>
            </w:r>
            <w:r w:rsidRPr="004E4763">
              <w:rPr>
                <w:rFonts w:eastAsia="Calibri" w:cs="Arial"/>
                <w:b/>
                <w:bCs/>
                <w:color w:val="000000" w:themeColor="text1"/>
                <w:sz w:val="20"/>
                <w:szCs w:val="20"/>
              </w:rPr>
              <w:t>challenges’ (e.g.</w:t>
            </w:r>
            <w:r>
              <w:rPr>
                <w:rFonts w:eastAsia="Calibri" w:cs="Arial"/>
                <w:b/>
                <w:bCs/>
                <w:color w:val="000000" w:themeColor="text1"/>
                <w:sz w:val="20"/>
                <w:szCs w:val="20"/>
              </w:rPr>
              <w:t xml:space="preserve"> the ‘big challenges’ of</w:t>
            </w:r>
            <w:r w:rsidRPr="004E4763">
              <w:rPr>
                <w:rFonts w:eastAsia="Calibri" w:cs="Arial"/>
                <w:b/>
                <w:bCs/>
                <w:color w:val="000000" w:themeColor="text1"/>
                <w:sz w:val="20"/>
                <w:szCs w:val="20"/>
              </w:rPr>
              <w:t xml:space="preserve"> </w:t>
            </w:r>
            <w:r>
              <w:rPr>
                <w:rFonts w:eastAsia="Calibri" w:cs="Arial"/>
                <w:b/>
                <w:bCs/>
                <w:color w:val="000000" w:themeColor="text1"/>
                <w:sz w:val="20"/>
                <w:szCs w:val="20"/>
              </w:rPr>
              <w:t xml:space="preserve">public </w:t>
            </w:r>
            <w:r w:rsidRPr="004E4763">
              <w:rPr>
                <w:rFonts w:eastAsia="Calibri" w:cs="Arial"/>
                <w:b/>
                <w:bCs/>
                <w:color w:val="000000" w:themeColor="text1"/>
                <w:sz w:val="20"/>
                <w:szCs w:val="20"/>
              </w:rPr>
              <w:t>health, climate</w:t>
            </w:r>
            <w:r>
              <w:rPr>
                <w:rFonts w:eastAsia="Calibri" w:cs="Arial"/>
                <w:b/>
                <w:bCs/>
                <w:color w:val="000000" w:themeColor="text1"/>
                <w:sz w:val="20"/>
                <w:szCs w:val="20"/>
              </w:rPr>
              <w:t xml:space="preserve"> change</w:t>
            </w:r>
            <w:r w:rsidRPr="004E4763">
              <w:rPr>
                <w:rFonts w:eastAsia="Calibri" w:cs="Arial"/>
                <w:b/>
                <w:bCs/>
                <w:color w:val="000000" w:themeColor="text1"/>
                <w:sz w:val="20"/>
                <w:szCs w:val="20"/>
              </w:rPr>
              <w:t>, Welsh language, housing</w:t>
            </w:r>
            <w:r>
              <w:rPr>
                <w:rFonts w:eastAsia="Calibri" w:cs="Arial"/>
                <w:b/>
                <w:bCs/>
                <w:color w:val="000000" w:themeColor="text1"/>
                <w:sz w:val="20"/>
                <w:szCs w:val="20"/>
              </w:rPr>
              <w:t xml:space="preserve"> and </w:t>
            </w:r>
            <w:r w:rsidRPr="004E4763">
              <w:rPr>
                <w:rFonts w:eastAsia="Calibri" w:cs="Arial"/>
                <w:b/>
                <w:bCs/>
                <w:color w:val="000000" w:themeColor="text1"/>
                <w:sz w:val="20"/>
                <w:szCs w:val="20"/>
              </w:rPr>
              <w:t>poverty)</w:t>
            </w:r>
            <w:r>
              <w:rPr>
                <w:rFonts w:eastAsia="Calibri" w:cs="Arial"/>
                <w:b/>
                <w:bCs/>
                <w:color w:val="000000" w:themeColor="text1"/>
                <w:sz w:val="20"/>
                <w:szCs w:val="20"/>
              </w:rPr>
              <w:t>.</w:t>
            </w:r>
          </w:p>
        </w:tc>
      </w:tr>
      <w:tr w:rsidR="00714538" w:rsidRPr="006810E6" w14:paraId="03AA20C4" w14:textId="77777777" w:rsidTr="00D04D18">
        <w:tc>
          <w:tcPr>
            <w:tcW w:w="9628" w:type="dxa"/>
            <w:shd w:val="clear" w:color="auto" w:fill="auto"/>
          </w:tcPr>
          <w:p w14:paraId="5DED60CC" w14:textId="77777777" w:rsidR="002B5AF7" w:rsidRPr="002B5AF7" w:rsidRDefault="002B5AF7" w:rsidP="002B5AF7">
            <w:pPr>
              <w:pStyle w:val="ListParagraph"/>
              <w:rPr>
                <w:rFonts w:eastAsia="Calibri" w:cs="Arial"/>
                <w:i/>
                <w:iCs/>
                <w:color w:val="000000" w:themeColor="text1"/>
                <w:sz w:val="20"/>
                <w:szCs w:val="20"/>
              </w:rPr>
            </w:pPr>
          </w:p>
          <w:p w14:paraId="7BE90A51" w14:textId="5328C3D3" w:rsidR="00AB4DEC" w:rsidRPr="002B5AF7" w:rsidRDefault="00AB4DEC" w:rsidP="002B5AF7">
            <w:pPr>
              <w:pStyle w:val="ListParagraph"/>
              <w:numPr>
                <w:ilvl w:val="0"/>
                <w:numId w:val="39"/>
              </w:numPr>
              <w:rPr>
                <w:rFonts w:eastAsia="Calibri" w:cs="Arial"/>
                <w:i/>
                <w:iCs/>
                <w:color w:val="000000" w:themeColor="text1"/>
                <w:sz w:val="20"/>
                <w:szCs w:val="20"/>
              </w:rPr>
            </w:pPr>
            <w:r w:rsidRPr="002B5AF7">
              <w:rPr>
                <w:rFonts w:eastAsia="Calibri" w:cs="Arial"/>
                <w:color w:val="000000" w:themeColor="text1"/>
                <w:sz w:val="20"/>
                <w:szCs w:val="20"/>
              </w:rPr>
              <w:t>Invest in new civic projects and platforms through externally funded or co-funded capital investment</w:t>
            </w:r>
            <w:r w:rsidR="00600FEE" w:rsidRPr="002B5AF7">
              <w:rPr>
                <w:rFonts w:eastAsia="Calibri" w:cs="Arial"/>
                <w:color w:val="000000" w:themeColor="text1"/>
                <w:sz w:val="20"/>
                <w:szCs w:val="20"/>
              </w:rPr>
              <w:t xml:space="preserve"> (e.g. Children’s University project in collaboration with Wrexham University).</w:t>
            </w:r>
          </w:p>
          <w:p w14:paraId="5FE19775" w14:textId="4CF47C7E" w:rsidR="00F53A6A" w:rsidRPr="00F53A6A" w:rsidRDefault="00600FEE" w:rsidP="00F53A6A">
            <w:pPr>
              <w:pStyle w:val="ListParagraph"/>
              <w:numPr>
                <w:ilvl w:val="0"/>
                <w:numId w:val="33"/>
              </w:numPr>
              <w:rPr>
                <w:rFonts w:eastAsia="Calibri" w:cs="Arial"/>
                <w:color w:val="000000" w:themeColor="text1"/>
                <w:sz w:val="20"/>
                <w:szCs w:val="20"/>
              </w:rPr>
            </w:pPr>
            <w:r w:rsidRPr="00FA5B9B">
              <w:rPr>
                <w:rFonts w:eastAsia="Calibri" w:cs="Arial"/>
                <w:color w:val="000000" w:themeColor="text1"/>
                <w:sz w:val="20"/>
                <w:szCs w:val="20"/>
              </w:rPr>
              <w:lastRenderedPageBreak/>
              <w:t xml:space="preserve">Identify opportunities for engaging </w:t>
            </w:r>
            <w:r w:rsidRPr="006E0144">
              <w:rPr>
                <w:rFonts w:eastAsia="Calibri" w:cs="Arial"/>
                <w:color w:val="000000" w:themeColor="text1"/>
                <w:sz w:val="20"/>
                <w:szCs w:val="20"/>
              </w:rPr>
              <w:t>with national and regional economic regeneration initiatives</w:t>
            </w:r>
            <w:r w:rsidR="002B5AF7">
              <w:rPr>
                <w:rFonts w:eastAsia="Calibri" w:cs="Arial"/>
                <w:color w:val="000000" w:themeColor="text1"/>
                <w:sz w:val="20"/>
                <w:szCs w:val="20"/>
              </w:rPr>
              <w:t xml:space="preserve"> (e.g. via North Wales Skills Partnership).</w:t>
            </w:r>
          </w:p>
          <w:p w14:paraId="00B0FFAE" w14:textId="1A1E8E29" w:rsidR="0002510A" w:rsidRPr="002B5AF7" w:rsidRDefault="0002510A" w:rsidP="002B5AF7">
            <w:pPr>
              <w:pStyle w:val="ListParagraph"/>
              <w:numPr>
                <w:ilvl w:val="0"/>
                <w:numId w:val="33"/>
              </w:numPr>
              <w:rPr>
                <w:rFonts w:eastAsia="Calibri" w:cs="Arial"/>
                <w:color w:val="000000" w:themeColor="text1"/>
                <w:sz w:val="20"/>
                <w:szCs w:val="20"/>
              </w:rPr>
            </w:pPr>
            <w:r>
              <w:rPr>
                <w:rFonts w:eastAsia="Calibri" w:cs="Arial"/>
                <w:color w:val="000000" w:themeColor="text1"/>
                <w:sz w:val="20"/>
                <w:szCs w:val="20"/>
              </w:rPr>
              <w:t xml:space="preserve">Identify opportunities to embed a </w:t>
            </w:r>
            <w:proofErr w:type="gramStart"/>
            <w:r>
              <w:rPr>
                <w:rFonts w:eastAsia="Calibri" w:cs="Arial"/>
                <w:color w:val="000000" w:themeColor="text1"/>
                <w:sz w:val="20"/>
                <w:szCs w:val="20"/>
              </w:rPr>
              <w:t>University</w:t>
            </w:r>
            <w:proofErr w:type="gramEnd"/>
            <w:r>
              <w:rPr>
                <w:rFonts w:eastAsia="Calibri" w:cs="Arial"/>
                <w:color w:val="000000" w:themeColor="text1"/>
                <w:sz w:val="20"/>
                <w:szCs w:val="20"/>
              </w:rPr>
              <w:t xml:space="preserve"> presence in local communities (e.g. through projects such as M-Sparc ‘</w:t>
            </w:r>
            <w:proofErr w:type="spellStart"/>
            <w:r>
              <w:rPr>
                <w:rFonts w:eastAsia="Calibri" w:cs="Arial"/>
                <w:color w:val="000000" w:themeColor="text1"/>
                <w:sz w:val="20"/>
                <w:szCs w:val="20"/>
              </w:rPr>
              <w:t>Ar</w:t>
            </w:r>
            <w:proofErr w:type="spellEnd"/>
            <w:r>
              <w:rPr>
                <w:rFonts w:eastAsia="Calibri" w:cs="Arial"/>
                <w:color w:val="000000" w:themeColor="text1"/>
                <w:sz w:val="20"/>
                <w:szCs w:val="20"/>
              </w:rPr>
              <w:t xml:space="preserve"> y Lon’). </w:t>
            </w:r>
          </w:p>
          <w:p w14:paraId="06066EEC" w14:textId="4464400F" w:rsidR="00AB4DEC" w:rsidRPr="00086413" w:rsidRDefault="00AB4DEC" w:rsidP="00600FEE">
            <w:pPr>
              <w:pStyle w:val="ListParagraph"/>
              <w:numPr>
                <w:ilvl w:val="0"/>
                <w:numId w:val="33"/>
              </w:numPr>
              <w:rPr>
                <w:rFonts w:eastAsia="Calibri" w:cs="Arial"/>
                <w:i/>
                <w:iCs/>
                <w:color w:val="000000" w:themeColor="text1"/>
              </w:rPr>
            </w:pPr>
            <w:r w:rsidRPr="595916AA">
              <w:rPr>
                <w:rFonts w:eastAsia="Calibri" w:cs="Arial"/>
                <w:color w:val="000000" w:themeColor="text1"/>
                <w:sz w:val="20"/>
                <w:szCs w:val="20"/>
              </w:rPr>
              <w:t xml:space="preserve">Ensure that our </w:t>
            </w:r>
            <w:r w:rsidR="002B5AF7">
              <w:rPr>
                <w:rFonts w:eastAsia="Calibri" w:cs="Arial"/>
                <w:color w:val="000000" w:themeColor="text1"/>
                <w:sz w:val="20"/>
                <w:szCs w:val="20"/>
              </w:rPr>
              <w:t>c</w:t>
            </w:r>
            <w:r w:rsidRPr="595916AA">
              <w:rPr>
                <w:rFonts w:eastAsia="Calibri" w:cs="Arial"/>
                <w:color w:val="000000" w:themeColor="text1"/>
                <w:sz w:val="20"/>
                <w:szCs w:val="20"/>
              </w:rPr>
              <w:t xml:space="preserve">ivic </w:t>
            </w:r>
            <w:r w:rsidR="002B5AF7">
              <w:rPr>
                <w:rFonts w:eastAsia="Calibri" w:cs="Arial"/>
                <w:color w:val="000000" w:themeColor="text1"/>
                <w:sz w:val="20"/>
                <w:szCs w:val="20"/>
              </w:rPr>
              <w:t>e</w:t>
            </w:r>
            <w:r w:rsidRPr="595916AA">
              <w:rPr>
                <w:rFonts w:eastAsia="Calibri" w:cs="Arial"/>
                <w:color w:val="000000" w:themeColor="text1"/>
                <w:sz w:val="20"/>
                <w:szCs w:val="20"/>
              </w:rPr>
              <w:t>ngagement activities are informed by the sustainability agenda and contribute to community wellbeing and economic development.</w:t>
            </w:r>
          </w:p>
          <w:p w14:paraId="3FDA12E6" w14:textId="03D4BFB4" w:rsidR="00AB4DEC" w:rsidRDefault="00AB4DEC" w:rsidP="00600FEE">
            <w:pPr>
              <w:pStyle w:val="ListParagraph"/>
              <w:numPr>
                <w:ilvl w:val="0"/>
                <w:numId w:val="33"/>
              </w:numPr>
              <w:rPr>
                <w:rFonts w:eastAsia="Calibri" w:cs="Arial"/>
                <w:color w:val="000000" w:themeColor="text1"/>
                <w:sz w:val="20"/>
                <w:szCs w:val="20"/>
              </w:rPr>
            </w:pPr>
            <w:r>
              <w:rPr>
                <w:rFonts w:eastAsia="Calibri" w:cs="Arial"/>
                <w:color w:val="000000" w:themeColor="text1"/>
                <w:sz w:val="20"/>
                <w:szCs w:val="20"/>
              </w:rPr>
              <w:t>Work with local, regional and national groups and bodies to identify and address societal challenges</w:t>
            </w:r>
            <w:r w:rsidR="002B5AF7">
              <w:rPr>
                <w:rFonts w:eastAsia="Calibri" w:cs="Arial"/>
                <w:color w:val="000000" w:themeColor="text1"/>
                <w:sz w:val="20"/>
                <w:szCs w:val="20"/>
              </w:rPr>
              <w:t xml:space="preserve"> (e.g. via the </w:t>
            </w:r>
            <w:r w:rsidR="00230130">
              <w:rPr>
                <w:rFonts w:eastAsia="Calibri" w:cs="Arial"/>
                <w:color w:val="000000" w:themeColor="text1"/>
                <w:sz w:val="20"/>
                <w:szCs w:val="20"/>
              </w:rPr>
              <w:t>PSB</w:t>
            </w:r>
            <w:r w:rsidR="0002510A">
              <w:rPr>
                <w:rFonts w:eastAsia="Calibri" w:cs="Arial"/>
                <w:color w:val="000000" w:themeColor="text1"/>
                <w:sz w:val="20"/>
                <w:szCs w:val="20"/>
              </w:rPr>
              <w:t xml:space="preserve"> and North Wales Insight Partnership</w:t>
            </w:r>
            <w:r w:rsidR="002B5AF7">
              <w:rPr>
                <w:rFonts w:eastAsia="Calibri" w:cs="Arial"/>
                <w:color w:val="000000" w:themeColor="text1"/>
                <w:sz w:val="20"/>
                <w:szCs w:val="20"/>
              </w:rPr>
              <w:t>).</w:t>
            </w:r>
          </w:p>
          <w:p w14:paraId="1A422B78" w14:textId="0D5ED5C2" w:rsidR="00F53A6A" w:rsidRPr="001C5B12" w:rsidRDefault="00F53A6A" w:rsidP="00600FEE">
            <w:pPr>
              <w:pStyle w:val="ListParagraph"/>
              <w:numPr>
                <w:ilvl w:val="0"/>
                <w:numId w:val="33"/>
              </w:numPr>
              <w:rPr>
                <w:rFonts w:eastAsia="Calibri" w:cs="Arial"/>
                <w:color w:val="000000" w:themeColor="text1"/>
                <w:sz w:val="20"/>
                <w:szCs w:val="20"/>
              </w:rPr>
            </w:pPr>
            <w:r>
              <w:rPr>
                <w:rFonts w:eastAsia="Calibri" w:cs="Arial"/>
                <w:color w:val="000000" w:themeColor="text1"/>
                <w:sz w:val="20"/>
                <w:szCs w:val="20"/>
              </w:rPr>
              <w:t>Work to enhance and extend the range</w:t>
            </w:r>
            <w:r w:rsidR="004444CD">
              <w:rPr>
                <w:rFonts w:eastAsia="Calibri" w:cs="Arial"/>
                <w:color w:val="000000" w:themeColor="text1"/>
                <w:sz w:val="20"/>
                <w:szCs w:val="20"/>
              </w:rPr>
              <w:t xml:space="preserve">, </w:t>
            </w:r>
            <w:r>
              <w:rPr>
                <w:rFonts w:eastAsia="Calibri" w:cs="Arial"/>
                <w:color w:val="000000" w:themeColor="text1"/>
                <w:sz w:val="20"/>
                <w:szCs w:val="20"/>
              </w:rPr>
              <w:t xml:space="preserve">breadth </w:t>
            </w:r>
            <w:r w:rsidR="004444CD">
              <w:rPr>
                <w:rFonts w:eastAsia="Calibri" w:cs="Arial"/>
                <w:color w:val="000000" w:themeColor="text1"/>
                <w:sz w:val="20"/>
                <w:szCs w:val="20"/>
              </w:rPr>
              <w:t xml:space="preserve">and depth </w:t>
            </w:r>
            <w:r>
              <w:rPr>
                <w:rFonts w:eastAsia="Calibri" w:cs="Arial"/>
                <w:color w:val="000000" w:themeColor="text1"/>
                <w:sz w:val="20"/>
                <w:szCs w:val="20"/>
              </w:rPr>
              <w:t xml:space="preserve">of core </w:t>
            </w:r>
            <w:r w:rsidR="004444CD">
              <w:rPr>
                <w:rFonts w:eastAsia="Calibri" w:cs="Arial"/>
                <w:color w:val="000000" w:themeColor="text1"/>
                <w:sz w:val="20"/>
                <w:szCs w:val="20"/>
              </w:rPr>
              <w:t>strategic</w:t>
            </w:r>
            <w:r>
              <w:rPr>
                <w:rFonts w:eastAsia="Calibri" w:cs="Arial"/>
                <w:color w:val="000000" w:themeColor="text1"/>
                <w:sz w:val="20"/>
                <w:szCs w:val="20"/>
              </w:rPr>
              <w:t xml:space="preserve"> partnerships</w:t>
            </w:r>
            <w:r w:rsidR="004444CD">
              <w:rPr>
                <w:rFonts w:eastAsia="Calibri" w:cs="Arial"/>
                <w:color w:val="000000" w:themeColor="text1"/>
                <w:sz w:val="20"/>
                <w:szCs w:val="20"/>
              </w:rPr>
              <w:t>.</w:t>
            </w:r>
          </w:p>
          <w:p w14:paraId="2C13E01E" w14:textId="6C79CDD0" w:rsidR="00AB4DEC" w:rsidRPr="00311D4A" w:rsidRDefault="00230130" w:rsidP="00600FEE">
            <w:pPr>
              <w:pStyle w:val="ListParagraph"/>
              <w:numPr>
                <w:ilvl w:val="0"/>
                <w:numId w:val="33"/>
              </w:numPr>
              <w:rPr>
                <w:rFonts w:eastAsia="Calibri" w:cs="Arial"/>
                <w:color w:val="000000" w:themeColor="text1"/>
                <w:sz w:val="20"/>
                <w:szCs w:val="20"/>
              </w:rPr>
            </w:pPr>
            <w:r>
              <w:rPr>
                <w:rFonts w:eastAsia="Calibri" w:cs="Arial"/>
                <w:color w:val="000000" w:themeColor="text1"/>
                <w:sz w:val="20"/>
                <w:szCs w:val="20"/>
              </w:rPr>
              <w:t>Via</w:t>
            </w:r>
            <w:r w:rsidR="00AB4DEC">
              <w:rPr>
                <w:rFonts w:eastAsia="Calibri" w:cs="Arial"/>
                <w:color w:val="000000" w:themeColor="text1"/>
                <w:sz w:val="20"/>
                <w:szCs w:val="20"/>
              </w:rPr>
              <w:t xml:space="preserve"> </w:t>
            </w:r>
            <w:r w:rsidR="00AB4DEC" w:rsidRPr="0002510A">
              <w:rPr>
                <w:rFonts w:eastAsia="Calibri" w:cs="Arial"/>
                <w:color w:val="000000" w:themeColor="text1"/>
                <w:sz w:val="20"/>
                <w:szCs w:val="20"/>
              </w:rPr>
              <w:t>M-S</w:t>
            </w:r>
            <w:r w:rsidR="0002510A">
              <w:rPr>
                <w:rFonts w:eastAsia="Calibri" w:cs="Arial"/>
                <w:color w:val="000000" w:themeColor="text1"/>
                <w:sz w:val="20"/>
                <w:szCs w:val="20"/>
              </w:rPr>
              <w:t>p</w:t>
            </w:r>
            <w:r w:rsidR="00AB4DEC" w:rsidRPr="0002510A">
              <w:rPr>
                <w:rFonts w:eastAsia="Calibri" w:cs="Arial"/>
                <w:color w:val="000000" w:themeColor="text1"/>
                <w:sz w:val="20"/>
                <w:szCs w:val="20"/>
              </w:rPr>
              <w:t>arc</w:t>
            </w:r>
            <w:r w:rsidR="00AB4DEC">
              <w:rPr>
                <w:rFonts w:eastAsia="Calibri" w:cs="Arial"/>
                <w:color w:val="000000" w:themeColor="text1"/>
                <w:sz w:val="20"/>
                <w:szCs w:val="20"/>
              </w:rPr>
              <w:t xml:space="preserve">, </w:t>
            </w:r>
            <w:r w:rsidR="00AB4DEC" w:rsidRPr="006E0144">
              <w:rPr>
                <w:rFonts w:eastAsia="Calibri" w:cs="Arial"/>
                <w:color w:val="000000" w:themeColor="text1"/>
                <w:sz w:val="20"/>
                <w:szCs w:val="20"/>
              </w:rPr>
              <w:t xml:space="preserve">provide </w:t>
            </w:r>
            <w:r w:rsidR="00AB4DEC">
              <w:rPr>
                <w:rFonts w:eastAsia="Calibri" w:cs="Arial"/>
                <w:color w:val="000000" w:themeColor="text1"/>
                <w:sz w:val="20"/>
                <w:szCs w:val="20"/>
              </w:rPr>
              <w:t xml:space="preserve">the facilities, expertise and access to entrepreneurs and local business and the networks that can translate research into impactful economic development. </w:t>
            </w:r>
          </w:p>
          <w:p w14:paraId="52850F67" w14:textId="15F53062" w:rsidR="00AB4DEC" w:rsidRDefault="00AB4DEC" w:rsidP="00600FEE">
            <w:pPr>
              <w:pStyle w:val="ListParagraph"/>
              <w:numPr>
                <w:ilvl w:val="0"/>
                <w:numId w:val="33"/>
              </w:numPr>
              <w:rPr>
                <w:rFonts w:eastAsia="Calibri" w:cs="Arial"/>
                <w:color w:val="000000" w:themeColor="text1"/>
                <w:sz w:val="20"/>
                <w:szCs w:val="20"/>
              </w:rPr>
            </w:pPr>
            <w:r w:rsidRPr="595916AA">
              <w:rPr>
                <w:rFonts w:eastAsia="Calibri" w:cs="Arial"/>
                <w:color w:val="000000" w:themeColor="text1"/>
                <w:sz w:val="20"/>
                <w:szCs w:val="20"/>
              </w:rPr>
              <w:t>Work</w:t>
            </w:r>
            <w:r w:rsidR="00230130">
              <w:rPr>
                <w:rFonts w:eastAsia="Calibri" w:cs="Arial"/>
                <w:color w:val="000000" w:themeColor="text1"/>
                <w:sz w:val="20"/>
                <w:szCs w:val="20"/>
              </w:rPr>
              <w:t xml:space="preserve"> </w:t>
            </w:r>
            <w:r w:rsidRPr="595916AA">
              <w:rPr>
                <w:rFonts w:eastAsia="Calibri" w:cs="Arial"/>
                <w:color w:val="000000" w:themeColor="text1"/>
                <w:sz w:val="20"/>
                <w:szCs w:val="20"/>
              </w:rPr>
              <w:t xml:space="preserve">with </w:t>
            </w:r>
            <w:r w:rsidR="00230130">
              <w:rPr>
                <w:rFonts w:eastAsia="Calibri" w:cs="Arial"/>
                <w:color w:val="000000" w:themeColor="text1"/>
                <w:sz w:val="20"/>
                <w:szCs w:val="20"/>
              </w:rPr>
              <w:t xml:space="preserve">local councils and </w:t>
            </w:r>
            <w:r w:rsidRPr="595916AA">
              <w:rPr>
                <w:rFonts w:eastAsia="Calibri" w:cs="Arial"/>
                <w:color w:val="000000" w:themeColor="text1"/>
                <w:sz w:val="20"/>
                <w:szCs w:val="20"/>
              </w:rPr>
              <w:t xml:space="preserve">external stakeholders to support </w:t>
            </w:r>
            <w:r w:rsidR="002B5AF7">
              <w:rPr>
                <w:rFonts w:eastAsia="Calibri" w:cs="Arial"/>
                <w:color w:val="000000" w:themeColor="text1"/>
                <w:sz w:val="20"/>
                <w:szCs w:val="20"/>
              </w:rPr>
              <w:t xml:space="preserve">community </w:t>
            </w:r>
            <w:r w:rsidRPr="595916AA">
              <w:rPr>
                <w:rFonts w:eastAsia="Calibri" w:cs="Arial"/>
                <w:color w:val="000000" w:themeColor="text1"/>
                <w:sz w:val="20"/>
                <w:szCs w:val="20"/>
              </w:rPr>
              <w:t xml:space="preserve">aspirations </w:t>
            </w:r>
            <w:r w:rsidR="002B5AF7">
              <w:rPr>
                <w:rFonts w:eastAsia="Calibri" w:cs="Arial"/>
                <w:color w:val="000000" w:themeColor="text1"/>
                <w:sz w:val="20"/>
                <w:szCs w:val="20"/>
              </w:rPr>
              <w:t>(e.g.</w:t>
            </w:r>
            <w:r w:rsidRPr="595916AA">
              <w:rPr>
                <w:rFonts w:eastAsia="Calibri" w:cs="Arial"/>
                <w:color w:val="000000" w:themeColor="text1"/>
                <w:sz w:val="20"/>
                <w:szCs w:val="20"/>
              </w:rPr>
              <w:t xml:space="preserve"> the re-development of Bangor </w:t>
            </w:r>
            <w:r w:rsidR="002B5AF7">
              <w:rPr>
                <w:rFonts w:eastAsia="Calibri" w:cs="Arial"/>
                <w:color w:val="000000" w:themeColor="text1"/>
                <w:sz w:val="20"/>
                <w:szCs w:val="20"/>
              </w:rPr>
              <w:t>c</w:t>
            </w:r>
            <w:r w:rsidRPr="595916AA">
              <w:rPr>
                <w:rFonts w:eastAsia="Calibri" w:cs="Arial"/>
                <w:color w:val="000000" w:themeColor="text1"/>
                <w:sz w:val="20"/>
                <w:szCs w:val="20"/>
              </w:rPr>
              <w:t>ity centre</w:t>
            </w:r>
            <w:r w:rsidR="002B5AF7">
              <w:rPr>
                <w:rFonts w:eastAsia="Calibri" w:cs="Arial"/>
                <w:color w:val="000000" w:themeColor="text1"/>
                <w:sz w:val="20"/>
                <w:szCs w:val="20"/>
              </w:rPr>
              <w:t>).</w:t>
            </w:r>
          </w:p>
          <w:p w14:paraId="7FEFFBDC" w14:textId="77777777" w:rsidR="002B5AF7" w:rsidRDefault="00AB4DEC" w:rsidP="002B5AF7">
            <w:pPr>
              <w:pStyle w:val="ListParagraph"/>
              <w:numPr>
                <w:ilvl w:val="0"/>
                <w:numId w:val="33"/>
              </w:numPr>
              <w:rPr>
                <w:rFonts w:eastAsia="Calibri" w:cs="Arial"/>
                <w:color w:val="000000" w:themeColor="text1"/>
                <w:sz w:val="20"/>
                <w:szCs w:val="20"/>
              </w:rPr>
            </w:pPr>
            <w:r w:rsidRPr="006E0144">
              <w:rPr>
                <w:rFonts w:eastAsia="Calibri" w:cs="Arial"/>
                <w:color w:val="000000" w:themeColor="text1"/>
                <w:sz w:val="20"/>
                <w:szCs w:val="20"/>
              </w:rPr>
              <w:t xml:space="preserve">Work with </w:t>
            </w:r>
            <w:r w:rsidR="002B5AF7">
              <w:rPr>
                <w:rFonts w:eastAsia="Calibri" w:cs="Arial"/>
                <w:color w:val="000000" w:themeColor="text1"/>
                <w:sz w:val="20"/>
                <w:szCs w:val="20"/>
              </w:rPr>
              <w:t>internal</w:t>
            </w:r>
            <w:r w:rsidRPr="595916AA">
              <w:rPr>
                <w:rFonts w:eastAsia="Calibri" w:cs="Arial"/>
                <w:color w:val="000000" w:themeColor="text1"/>
                <w:sz w:val="20"/>
                <w:szCs w:val="20"/>
              </w:rPr>
              <w:t xml:space="preserve"> and external stakeholders to extend educational opportunities for children, young people and adults</w:t>
            </w:r>
            <w:r w:rsidR="002B5AF7">
              <w:rPr>
                <w:rFonts w:eastAsia="Calibri" w:cs="Arial"/>
                <w:color w:val="000000" w:themeColor="text1"/>
                <w:sz w:val="20"/>
                <w:szCs w:val="20"/>
              </w:rPr>
              <w:t xml:space="preserve"> (e.g. via the</w:t>
            </w:r>
            <w:r w:rsidR="002B5AF7" w:rsidRPr="006E0144">
              <w:rPr>
                <w:rFonts w:eastAsia="Calibri" w:cs="Arial"/>
                <w:color w:val="000000" w:themeColor="text1"/>
                <w:sz w:val="20"/>
                <w:szCs w:val="20"/>
              </w:rPr>
              <w:t xml:space="preserve"> Reaching Wider Partnership and </w:t>
            </w:r>
            <w:r w:rsidR="002B5AF7">
              <w:rPr>
                <w:rFonts w:eastAsia="Calibri" w:cs="Arial"/>
                <w:color w:val="000000" w:themeColor="text1"/>
                <w:sz w:val="20"/>
                <w:szCs w:val="20"/>
              </w:rPr>
              <w:t>Children’s University project).</w:t>
            </w:r>
          </w:p>
          <w:p w14:paraId="18CF9F13" w14:textId="6151F003" w:rsidR="0002510A" w:rsidRDefault="0002510A" w:rsidP="002B5AF7">
            <w:pPr>
              <w:pStyle w:val="ListParagraph"/>
              <w:numPr>
                <w:ilvl w:val="0"/>
                <w:numId w:val="33"/>
              </w:numPr>
              <w:rPr>
                <w:rFonts w:eastAsia="Calibri" w:cs="Arial"/>
                <w:color w:val="000000" w:themeColor="text1"/>
                <w:sz w:val="20"/>
                <w:szCs w:val="20"/>
              </w:rPr>
            </w:pPr>
            <w:r>
              <w:rPr>
                <w:rFonts w:eastAsia="Calibri" w:cs="Arial"/>
                <w:color w:val="000000" w:themeColor="text1"/>
                <w:sz w:val="20"/>
                <w:szCs w:val="20"/>
              </w:rPr>
              <w:t>Work with colleagues to identify CPD opportunities in relevant and related areas.</w:t>
            </w:r>
          </w:p>
          <w:p w14:paraId="0C1003E0" w14:textId="2767E217" w:rsidR="00AB4DEC" w:rsidRPr="002B5AF7" w:rsidRDefault="002B5AF7" w:rsidP="002B5AF7">
            <w:pPr>
              <w:pStyle w:val="ListParagraph"/>
              <w:numPr>
                <w:ilvl w:val="0"/>
                <w:numId w:val="33"/>
              </w:numPr>
              <w:rPr>
                <w:rFonts w:eastAsia="Calibri" w:cs="Arial"/>
                <w:color w:val="000000" w:themeColor="text1"/>
                <w:sz w:val="20"/>
                <w:szCs w:val="20"/>
              </w:rPr>
            </w:pPr>
            <w:r>
              <w:rPr>
                <w:rFonts w:eastAsia="Calibri" w:cs="Arial"/>
                <w:color w:val="000000" w:themeColor="text1"/>
                <w:sz w:val="20"/>
                <w:szCs w:val="20"/>
              </w:rPr>
              <w:t xml:space="preserve">Wherever possible, support local businesses through </w:t>
            </w:r>
            <w:r w:rsidR="0002510A">
              <w:rPr>
                <w:rFonts w:eastAsia="Calibri" w:cs="Arial"/>
                <w:color w:val="000000" w:themeColor="text1"/>
                <w:sz w:val="20"/>
                <w:szCs w:val="20"/>
              </w:rPr>
              <w:t>our</w:t>
            </w:r>
            <w:r w:rsidR="00AB4DEC" w:rsidRPr="002B5AF7">
              <w:rPr>
                <w:rFonts w:eastAsia="Calibri" w:cs="Arial"/>
                <w:color w:val="000000" w:themeColor="text1"/>
                <w:sz w:val="20"/>
                <w:szCs w:val="20"/>
              </w:rPr>
              <w:t xml:space="preserve"> procurement p</w:t>
            </w:r>
            <w:r>
              <w:rPr>
                <w:rFonts w:eastAsia="Calibri" w:cs="Arial"/>
                <w:color w:val="000000" w:themeColor="text1"/>
                <w:sz w:val="20"/>
                <w:szCs w:val="20"/>
              </w:rPr>
              <w:t>olicies</w:t>
            </w:r>
            <w:r w:rsidR="0002510A">
              <w:rPr>
                <w:rFonts w:eastAsia="Calibri" w:cs="Arial"/>
                <w:color w:val="000000" w:themeColor="text1"/>
                <w:sz w:val="20"/>
                <w:szCs w:val="20"/>
              </w:rPr>
              <w:t xml:space="preserve"> and practice</w:t>
            </w:r>
            <w:r>
              <w:rPr>
                <w:rFonts w:eastAsia="Calibri" w:cs="Arial"/>
                <w:color w:val="000000" w:themeColor="text1"/>
                <w:sz w:val="20"/>
                <w:szCs w:val="20"/>
              </w:rPr>
              <w:t>.</w:t>
            </w:r>
          </w:p>
          <w:p w14:paraId="64082765" w14:textId="56A03747" w:rsidR="00AB4DEC" w:rsidRDefault="002F2A99" w:rsidP="00600FEE">
            <w:pPr>
              <w:pStyle w:val="ListParagraph"/>
              <w:numPr>
                <w:ilvl w:val="0"/>
                <w:numId w:val="33"/>
              </w:numPr>
              <w:rPr>
                <w:rFonts w:eastAsia="Calibri" w:cs="Arial"/>
                <w:color w:val="000000" w:themeColor="text1"/>
                <w:sz w:val="20"/>
                <w:szCs w:val="20"/>
              </w:rPr>
            </w:pPr>
            <w:r>
              <w:rPr>
                <w:rFonts w:eastAsia="Calibri" w:cs="Arial"/>
                <w:color w:val="000000" w:themeColor="text1"/>
                <w:sz w:val="20"/>
                <w:szCs w:val="20"/>
              </w:rPr>
              <w:t>Via our strategic partnerships, w</w:t>
            </w:r>
            <w:r w:rsidR="00AB4DEC">
              <w:rPr>
                <w:rFonts w:eastAsia="Calibri" w:cs="Arial"/>
                <w:color w:val="000000" w:themeColor="text1"/>
                <w:sz w:val="20"/>
                <w:szCs w:val="20"/>
              </w:rPr>
              <w:t xml:space="preserve">ork with local businesses and industry to </w:t>
            </w:r>
            <w:r w:rsidR="00AB4DEC" w:rsidRPr="005E224A">
              <w:rPr>
                <w:rFonts w:eastAsia="Calibri" w:cs="Arial"/>
                <w:color w:val="000000" w:themeColor="text1"/>
                <w:sz w:val="20"/>
                <w:szCs w:val="20"/>
              </w:rPr>
              <w:t xml:space="preserve">Identify further opportunities for </w:t>
            </w:r>
            <w:r w:rsidR="00AB4DEC">
              <w:rPr>
                <w:rFonts w:eastAsia="Calibri" w:cs="Arial"/>
                <w:color w:val="000000" w:themeColor="text1"/>
                <w:sz w:val="20"/>
                <w:szCs w:val="20"/>
              </w:rPr>
              <w:t xml:space="preserve">student </w:t>
            </w:r>
            <w:r w:rsidR="00AB4DEC" w:rsidRPr="005E224A">
              <w:rPr>
                <w:rFonts w:eastAsia="Calibri" w:cs="Arial"/>
                <w:color w:val="000000" w:themeColor="text1"/>
                <w:sz w:val="20"/>
                <w:szCs w:val="20"/>
              </w:rPr>
              <w:t>placement</w:t>
            </w:r>
            <w:r w:rsidR="00AB4DEC">
              <w:rPr>
                <w:rFonts w:eastAsia="Calibri" w:cs="Arial"/>
                <w:color w:val="000000" w:themeColor="text1"/>
                <w:sz w:val="20"/>
                <w:szCs w:val="20"/>
              </w:rPr>
              <w:t>s.</w:t>
            </w:r>
          </w:p>
          <w:p w14:paraId="443A352E" w14:textId="3F012EBC" w:rsidR="002F2A99" w:rsidRDefault="002F2A99" w:rsidP="00600FEE">
            <w:pPr>
              <w:pStyle w:val="ListParagraph"/>
              <w:numPr>
                <w:ilvl w:val="0"/>
                <w:numId w:val="33"/>
              </w:numPr>
              <w:rPr>
                <w:rFonts w:eastAsia="Calibri" w:cs="Arial"/>
                <w:color w:val="000000" w:themeColor="text1"/>
                <w:sz w:val="20"/>
                <w:szCs w:val="20"/>
              </w:rPr>
            </w:pPr>
            <w:r>
              <w:rPr>
                <w:rFonts w:eastAsia="Calibri" w:cs="Arial"/>
                <w:color w:val="000000" w:themeColor="text1"/>
                <w:sz w:val="20"/>
                <w:szCs w:val="20"/>
              </w:rPr>
              <w:t xml:space="preserve">Collaborate with local FE partners on societal change projects and initiatives. </w:t>
            </w:r>
          </w:p>
          <w:p w14:paraId="47E4B00A" w14:textId="399E37C0" w:rsidR="00AB4DEC" w:rsidRPr="002C34AB" w:rsidRDefault="00AB377C" w:rsidP="00600FEE">
            <w:pPr>
              <w:pStyle w:val="ListParagraph"/>
              <w:numPr>
                <w:ilvl w:val="0"/>
                <w:numId w:val="33"/>
              </w:numPr>
              <w:rPr>
                <w:rFonts w:eastAsia="Calibri" w:cs="Arial"/>
                <w:color w:val="000000" w:themeColor="text1"/>
                <w:sz w:val="20"/>
                <w:szCs w:val="20"/>
              </w:rPr>
            </w:pPr>
            <w:r w:rsidRPr="002C34AB">
              <w:rPr>
                <w:rFonts w:eastAsia="Calibri" w:cs="Arial"/>
                <w:color w:val="000000" w:themeColor="text1"/>
                <w:sz w:val="20"/>
                <w:szCs w:val="20"/>
              </w:rPr>
              <w:t>Work in partnership with the Students’ Union to s</w:t>
            </w:r>
            <w:r w:rsidR="00AB4DEC" w:rsidRPr="002C34AB">
              <w:rPr>
                <w:rFonts w:eastAsia="Calibri" w:cs="Arial"/>
                <w:color w:val="000000" w:themeColor="text1"/>
                <w:sz w:val="20"/>
                <w:szCs w:val="20"/>
              </w:rPr>
              <w:t>upport student volunteering initiatives.</w:t>
            </w:r>
          </w:p>
          <w:p w14:paraId="3FD569C1" w14:textId="4B2E4064" w:rsidR="005667D2" w:rsidRPr="005667D2" w:rsidRDefault="00AB4DEC" w:rsidP="00600FEE">
            <w:pPr>
              <w:pStyle w:val="ListParagraph"/>
              <w:numPr>
                <w:ilvl w:val="0"/>
                <w:numId w:val="33"/>
              </w:numPr>
              <w:rPr>
                <w:rFonts w:eastAsia="Calibri" w:cs="Arial"/>
                <w:color w:val="000000" w:themeColor="text1"/>
              </w:rPr>
            </w:pPr>
            <w:r w:rsidRPr="5B7365AA">
              <w:rPr>
                <w:rFonts w:eastAsia="Calibri" w:cs="Arial"/>
                <w:color w:val="000000" w:themeColor="text1"/>
                <w:sz w:val="20"/>
                <w:szCs w:val="20"/>
              </w:rPr>
              <w:t xml:space="preserve">Through the Civic Mission Framework (Wales), work with other Welsh Universities </w:t>
            </w:r>
            <w:r w:rsidR="002B5AF7">
              <w:rPr>
                <w:rFonts w:eastAsia="Calibri" w:cs="Arial"/>
                <w:color w:val="000000" w:themeColor="text1"/>
                <w:sz w:val="20"/>
                <w:szCs w:val="20"/>
              </w:rPr>
              <w:t>to identify</w:t>
            </w:r>
            <w:r w:rsidRPr="5B7365AA">
              <w:rPr>
                <w:rFonts w:eastAsia="Calibri" w:cs="Arial"/>
                <w:color w:val="000000" w:themeColor="text1"/>
                <w:sz w:val="20"/>
                <w:szCs w:val="20"/>
              </w:rPr>
              <w:t xml:space="preserve"> areas of common interest</w:t>
            </w:r>
            <w:r w:rsidR="002B5AF7">
              <w:rPr>
                <w:rFonts w:eastAsia="Calibri" w:cs="Arial"/>
                <w:color w:val="000000" w:themeColor="text1"/>
                <w:sz w:val="20"/>
                <w:szCs w:val="20"/>
              </w:rPr>
              <w:t xml:space="preserve"> and</w:t>
            </w:r>
            <w:r w:rsidRPr="5B7365AA">
              <w:rPr>
                <w:rFonts w:eastAsia="Calibri" w:cs="Arial"/>
                <w:color w:val="000000" w:themeColor="text1"/>
                <w:sz w:val="20"/>
                <w:szCs w:val="20"/>
              </w:rPr>
              <w:t xml:space="preserve"> collaboration opportunitie</w:t>
            </w:r>
            <w:r w:rsidR="002B5AF7">
              <w:rPr>
                <w:rFonts w:eastAsia="Calibri" w:cs="Arial"/>
                <w:color w:val="000000" w:themeColor="text1"/>
                <w:sz w:val="20"/>
                <w:szCs w:val="20"/>
              </w:rPr>
              <w:t>s.</w:t>
            </w:r>
          </w:p>
          <w:p w14:paraId="1D87F40C" w14:textId="0DB50A9B" w:rsidR="007E6CAB" w:rsidRPr="007E6CAB" w:rsidRDefault="007E6CAB" w:rsidP="007E6CAB">
            <w:pPr>
              <w:rPr>
                <w:rFonts w:eastAsia="Calibri" w:cs="Arial"/>
                <w:color w:val="000000" w:themeColor="text1"/>
                <w:sz w:val="20"/>
                <w:szCs w:val="20"/>
              </w:rPr>
            </w:pPr>
          </w:p>
        </w:tc>
      </w:tr>
      <w:tr w:rsidR="005667D2" w:rsidRPr="006810E6" w14:paraId="73C3DD14" w14:textId="77777777" w:rsidTr="005667D2">
        <w:tc>
          <w:tcPr>
            <w:tcW w:w="9628" w:type="dxa"/>
            <w:shd w:val="clear" w:color="auto" w:fill="BFBFBF" w:themeFill="background1" w:themeFillShade="BF"/>
          </w:tcPr>
          <w:p w14:paraId="7BE762FF" w14:textId="77777777" w:rsidR="005667D2" w:rsidRPr="00580DE0" w:rsidRDefault="005667D2" w:rsidP="005667D2">
            <w:pPr>
              <w:pStyle w:val="ListParagraph"/>
              <w:numPr>
                <w:ilvl w:val="0"/>
                <w:numId w:val="19"/>
              </w:numPr>
              <w:rPr>
                <w:rFonts w:eastAsia="Calibri" w:cs="Arial"/>
                <w:b/>
                <w:bCs/>
                <w:color w:val="000000" w:themeColor="text1"/>
                <w:sz w:val="20"/>
                <w:szCs w:val="20"/>
              </w:rPr>
            </w:pPr>
            <w:r w:rsidRPr="00580DE0">
              <w:rPr>
                <w:rFonts w:eastAsia="Calibri" w:cs="Arial"/>
                <w:b/>
                <w:bCs/>
                <w:color w:val="000000" w:themeColor="text1"/>
                <w:sz w:val="20"/>
                <w:szCs w:val="20"/>
              </w:rPr>
              <w:lastRenderedPageBreak/>
              <w:t xml:space="preserve">To deliver a rich and diverse programme of public and social engagement initiatives and to ensure that our facilities and spaces can be used to the benefit of our communities.  </w:t>
            </w:r>
          </w:p>
          <w:p w14:paraId="52D5EBCC" w14:textId="77777777" w:rsidR="005667D2" w:rsidRPr="0067218D" w:rsidRDefault="005667D2" w:rsidP="005667D2">
            <w:pPr>
              <w:rPr>
                <w:rFonts w:eastAsia="Calibri" w:cs="Arial"/>
                <w:color w:val="000000" w:themeColor="text1"/>
                <w:sz w:val="20"/>
                <w:szCs w:val="20"/>
              </w:rPr>
            </w:pPr>
          </w:p>
        </w:tc>
      </w:tr>
      <w:tr w:rsidR="005667D2" w:rsidRPr="006810E6" w14:paraId="019FB9A8" w14:textId="77777777" w:rsidTr="00D04D18">
        <w:tc>
          <w:tcPr>
            <w:tcW w:w="9628" w:type="dxa"/>
            <w:shd w:val="clear" w:color="auto" w:fill="auto"/>
          </w:tcPr>
          <w:p w14:paraId="25701024" w14:textId="77777777" w:rsidR="005667D2" w:rsidRDefault="005667D2" w:rsidP="005667D2">
            <w:pPr>
              <w:rPr>
                <w:rFonts w:eastAsia="Calibri" w:cs="Arial"/>
                <w:color w:val="000000" w:themeColor="text1"/>
                <w:sz w:val="20"/>
                <w:szCs w:val="20"/>
              </w:rPr>
            </w:pPr>
          </w:p>
          <w:p w14:paraId="7DAE090D" w14:textId="436D85A5" w:rsidR="005667D2" w:rsidRDefault="002F2A99" w:rsidP="005667D2">
            <w:pPr>
              <w:pStyle w:val="ListParagraph"/>
              <w:numPr>
                <w:ilvl w:val="0"/>
                <w:numId w:val="40"/>
              </w:numPr>
              <w:rPr>
                <w:rFonts w:eastAsia="Calibri" w:cs="Arial"/>
                <w:color w:val="000000" w:themeColor="text1"/>
                <w:sz w:val="20"/>
                <w:szCs w:val="20"/>
              </w:rPr>
            </w:pPr>
            <w:r w:rsidRPr="002F2A99">
              <w:rPr>
                <w:rFonts w:eastAsia="Calibri" w:cs="Arial"/>
                <w:color w:val="000000" w:themeColor="text1"/>
                <w:sz w:val="20"/>
                <w:szCs w:val="20"/>
              </w:rPr>
              <w:t xml:space="preserve">Strengthen </w:t>
            </w:r>
            <w:r w:rsidR="005667D2" w:rsidRPr="002F2A99">
              <w:rPr>
                <w:rFonts w:eastAsia="Calibri" w:cs="Arial"/>
                <w:color w:val="000000" w:themeColor="text1"/>
                <w:sz w:val="20"/>
                <w:szCs w:val="20"/>
              </w:rPr>
              <w:t xml:space="preserve">our relationship with communities across the region and ensure that our activities are relevant, understandable and purposefully provide added value. </w:t>
            </w:r>
          </w:p>
          <w:p w14:paraId="425C8BC6" w14:textId="699413C3" w:rsidR="0028109D" w:rsidRPr="002F2A99" w:rsidRDefault="0028109D" w:rsidP="005667D2">
            <w:pPr>
              <w:pStyle w:val="ListParagraph"/>
              <w:numPr>
                <w:ilvl w:val="0"/>
                <w:numId w:val="40"/>
              </w:numPr>
              <w:rPr>
                <w:rFonts w:eastAsia="Calibri" w:cs="Arial"/>
                <w:color w:val="000000" w:themeColor="text1"/>
                <w:sz w:val="20"/>
                <w:szCs w:val="20"/>
              </w:rPr>
            </w:pPr>
            <w:r>
              <w:rPr>
                <w:rFonts w:eastAsia="Calibri" w:cs="Arial"/>
                <w:color w:val="000000" w:themeColor="text1"/>
                <w:sz w:val="20"/>
                <w:szCs w:val="20"/>
              </w:rPr>
              <w:t xml:space="preserve">Work with colleagues to organise the programme of events for national festivals (e.g. National Eisteddfod, Eisteddfod </w:t>
            </w:r>
            <w:proofErr w:type="spellStart"/>
            <w:r>
              <w:rPr>
                <w:rFonts w:eastAsia="Calibri" w:cs="Arial"/>
                <w:color w:val="000000" w:themeColor="text1"/>
                <w:sz w:val="20"/>
                <w:szCs w:val="20"/>
              </w:rPr>
              <w:t>Yr</w:t>
            </w:r>
            <w:proofErr w:type="spellEnd"/>
            <w:r>
              <w:rPr>
                <w:rFonts w:eastAsia="Calibri" w:cs="Arial"/>
                <w:color w:val="000000" w:themeColor="text1"/>
                <w:sz w:val="20"/>
                <w:szCs w:val="20"/>
              </w:rPr>
              <w:t xml:space="preserve"> Urdd, Royal Welsh Show).</w:t>
            </w:r>
          </w:p>
          <w:p w14:paraId="189E35C1" w14:textId="0D512D50" w:rsidR="005667D2" w:rsidRDefault="002F2A99" w:rsidP="005667D2">
            <w:pPr>
              <w:pStyle w:val="ListParagraph"/>
              <w:numPr>
                <w:ilvl w:val="0"/>
                <w:numId w:val="34"/>
              </w:numPr>
              <w:rPr>
                <w:rFonts w:eastAsia="Calibri" w:cs="Arial"/>
                <w:color w:val="000000" w:themeColor="text1"/>
                <w:sz w:val="20"/>
                <w:szCs w:val="20"/>
              </w:rPr>
            </w:pPr>
            <w:r>
              <w:rPr>
                <w:rFonts w:eastAsia="Calibri" w:cs="Arial"/>
                <w:color w:val="000000" w:themeColor="text1"/>
                <w:sz w:val="20"/>
                <w:szCs w:val="20"/>
              </w:rPr>
              <w:t>Via</w:t>
            </w:r>
            <w:r w:rsidR="005667D2" w:rsidRPr="006842BE">
              <w:rPr>
                <w:rFonts w:eastAsia="Calibri" w:cs="Arial"/>
                <w:color w:val="000000" w:themeColor="text1"/>
                <w:sz w:val="20"/>
                <w:szCs w:val="20"/>
              </w:rPr>
              <w:t xml:space="preserve"> </w:t>
            </w:r>
            <w:proofErr w:type="spellStart"/>
            <w:r w:rsidR="005667D2" w:rsidRPr="006842BE">
              <w:rPr>
                <w:rFonts w:eastAsia="Calibri" w:cs="Arial"/>
                <w:color w:val="000000" w:themeColor="text1"/>
                <w:sz w:val="20"/>
                <w:szCs w:val="20"/>
              </w:rPr>
              <w:t>Pontio</w:t>
            </w:r>
            <w:proofErr w:type="spellEnd"/>
            <w:r w:rsidR="005667D2" w:rsidRPr="006842BE">
              <w:rPr>
                <w:rFonts w:eastAsia="Calibri" w:cs="Arial"/>
                <w:color w:val="000000" w:themeColor="text1"/>
                <w:sz w:val="20"/>
                <w:szCs w:val="20"/>
              </w:rPr>
              <w:t xml:space="preserve"> </w:t>
            </w:r>
            <w:r>
              <w:rPr>
                <w:rFonts w:eastAsia="Calibri" w:cs="Arial"/>
                <w:color w:val="000000" w:themeColor="text1"/>
                <w:sz w:val="20"/>
                <w:szCs w:val="20"/>
              </w:rPr>
              <w:t xml:space="preserve">Arts </w:t>
            </w:r>
            <w:r w:rsidR="005667D2" w:rsidRPr="006842BE">
              <w:rPr>
                <w:rFonts w:eastAsia="Calibri" w:cs="Arial"/>
                <w:color w:val="000000" w:themeColor="text1"/>
                <w:sz w:val="20"/>
                <w:szCs w:val="20"/>
              </w:rPr>
              <w:t>engage effectively with our communities through a diverse range of programmes</w:t>
            </w:r>
            <w:r w:rsidR="005667D2">
              <w:rPr>
                <w:rFonts w:eastAsia="Calibri" w:cs="Arial"/>
                <w:color w:val="000000" w:themeColor="text1"/>
                <w:sz w:val="20"/>
                <w:szCs w:val="20"/>
              </w:rPr>
              <w:t xml:space="preserve"> and events.</w:t>
            </w:r>
          </w:p>
          <w:p w14:paraId="660A1547" w14:textId="5A498DB3" w:rsidR="0028109D" w:rsidRDefault="0028109D" w:rsidP="005667D2">
            <w:pPr>
              <w:pStyle w:val="ListParagraph"/>
              <w:numPr>
                <w:ilvl w:val="0"/>
                <w:numId w:val="34"/>
              </w:numPr>
              <w:rPr>
                <w:rFonts w:eastAsia="Calibri" w:cs="Arial"/>
                <w:color w:val="000000" w:themeColor="text1"/>
                <w:sz w:val="20"/>
                <w:szCs w:val="20"/>
              </w:rPr>
            </w:pPr>
            <w:r>
              <w:rPr>
                <w:rFonts w:eastAsia="Calibri" w:cs="Arial"/>
                <w:color w:val="000000" w:themeColor="text1"/>
                <w:sz w:val="20"/>
                <w:szCs w:val="20"/>
              </w:rPr>
              <w:t xml:space="preserve">Via partnership working with Gwynedd Council, work to enhance the range and breadth of events held in </w:t>
            </w:r>
            <w:proofErr w:type="spellStart"/>
            <w:r>
              <w:rPr>
                <w:rFonts w:eastAsia="Calibri" w:cs="Arial"/>
                <w:color w:val="000000" w:themeColor="text1"/>
                <w:sz w:val="20"/>
                <w:szCs w:val="20"/>
              </w:rPr>
              <w:t>Storiel</w:t>
            </w:r>
            <w:proofErr w:type="spellEnd"/>
            <w:r>
              <w:rPr>
                <w:rFonts w:eastAsia="Calibri" w:cs="Arial"/>
                <w:color w:val="000000" w:themeColor="text1"/>
                <w:sz w:val="20"/>
                <w:szCs w:val="20"/>
              </w:rPr>
              <w:t>.</w:t>
            </w:r>
          </w:p>
          <w:p w14:paraId="5F990AB8" w14:textId="2F32E0FF" w:rsidR="0002510A" w:rsidRPr="006842BE" w:rsidRDefault="0002510A" w:rsidP="005667D2">
            <w:pPr>
              <w:pStyle w:val="ListParagraph"/>
              <w:numPr>
                <w:ilvl w:val="0"/>
                <w:numId w:val="34"/>
              </w:numPr>
              <w:rPr>
                <w:rFonts w:eastAsia="Calibri" w:cs="Arial"/>
                <w:color w:val="000000" w:themeColor="text1"/>
                <w:sz w:val="20"/>
                <w:szCs w:val="20"/>
              </w:rPr>
            </w:pPr>
            <w:r>
              <w:rPr>
                <w:rFonts w:eastAsia="Calibri" w:cs="Arial"/>
                <w:color w:val="000000" w:themeColor="text1"/>
                <w:sz w:val="20"/>
                <w:szCs w:val="20"/>
              </w:rPr>
              <w:t xml:space="preserve">Enhance partnership working with key external sporting organisations (e.g. Football Association of Wales, Welsh Rugby Union etc.). </w:t>
            </w:r>
          </w:p>
          <w:p w14:paraId="0880F4AC" w14:textId="77777777" w:rsidR="005667D2" w:rsidRPr="006842BE" w:rsidRDefault="005667D2" w:rsidP="005667D2">
            <w:pPr>
              <w:pStyle w:val="ListParagraph"/>
              <w:numPr>
                <w:ilvl w:val="0"/>
                <w:numId w:val="34"/>
              </w:numPr>
              <w:rPr>
                <w:rFonts w:eastAsia="Calibri" w:cs="Arial"/>
                <w:color w:val="000000" w:themeColor="text1"/>
                <w:sz w:val="20"/>
                <w:szCs w:val="20"/>
              </w:rPr>
            </w:pPr>
            <w:r w:rsidRPr="595916AA">
              <w:rPr>
                <w:rFonts w:eastAsia="Calibri" w:cs="Arial"/>
                <w:color w:val="000000" w:themeColor="text1"/>
                <w:sz w:val="20"/>
                <w:szCs w:val="20"/>
              </w:rPr>
              <w:t xml:space="preserve">Ensure that our academic expertise in the Arts is shared with the community through initiatives such as </w:t>
            </w:r>
            <w:r w:rsidRPr="595916AA">
              <w:rPr>
                <w:rFonts w:eastAsia="Calibri" w:cs="Arial"/>
                <w:i/>
                <w:iCs/>
                <w:color w:val="000000" w:themeColor="text1"/>
                <w:sz w:val="20"/>
                <w:szCs w:val="20"/>
              </w:rPr>
              <w:t>Bangor Music Festival</w:t>
            </w:r>
            <w:r w:rsidRPr="595916AA">
              <w:rPr>
                <w:rFonts w:eastAsia="Calibri" w:cs="Arial"/>
                <w:color w:val="000000" w:themeColor="text1"/>
                <w:sz w:val="20"/>
                <w:szCs w:val="20"/>
              </w:rPr>
              <w:t xml:space="preserve"> and events such as the </w:t>
            </w:r>
            <w:r w:rsidRPr="595916AA">
              <w:rPr>
                <w:rFonts w:eastAsia="Calibri" w:cs="Arial"/>
                <w:i/>
                <w:iCs/>
                <w:color w:val="000000" w:themeColor="text1"/>
                <w:sz w:val="20"/>
                <w:szCs w:val="20"/>
              </w:rPr>
              <w:t>National Eisteddfod</w:t>
            </w:r>
            <w:r w:rsidRPr="595916AA">
              <w:rPr>
                <w:rFonts w:eastAsia="Calibri" w:cs="Arial"/>
                <w:color w:val="000000" w:themeColor="text1"/>
                <w:sz w:val="20"/>
                <w:szCs w:val="20"/>
              </w:rPr>
              <w:t>.</w:t>
            </w:r>
          </w:p>
          <w:p w14:paraId="56372FDE" w14:textId="3F9D7AB2" w:rsidR="005667D2" w:rsidRDefault="005667D2" w:rsidP="005667D2">
            <w:pPr>
              <w:pStyle w:val="ListParagraph"/>
              <w:numPr>
                <w:ilvl w:val="0"/>
                <w:numId w:val="34"/>
              </w:numPr>
              <w:rPr>
                <w:rFonts w:eastAsia="Calibri" w:cs="Arial"/>
                <w:color w:val="000000" w:themeColor="text1"/>
                <w:sz w:val="20"/>
                <w:szCs w:val="20"/>
              </w:rPr>
            </w:pPr>
            <w:r>
              <w:rPr>
                <w:rFonts w:eastAsia="Calibri" w:cs="Arial"/>
                <w:color w:val="000000" w:themeColor="text1"/>
                <w:sz w:val="20"/>
                <w:szCs w:val="20"/>
              </w:rPr>
              <w:t xml:space="preserve">Through our sports facilities in </w:t>
            </w:r>
            <w:r w:rsidRPr="00D43D86">
              <w:rPr>
                <w:rFonts w:eastAsia="Calibri" w:cs="Arial"/>
                <w:i/>
                <w:iCs/>
                <w:color w:val="000000" w:themeColor="text1"/>
                <w:sz w:val="20"/>
                <w:szCs w:val="20"/>
              </w:rPr>
              <w:t>Canolfan Brailsford</w:t>
            </w:r>
            <w:r>
              <w:rPr>
                <w:rFonts w:eastAsia="Calibri" w:cs="Arial"/>
                <w:color w:val="000000" w:themeColor="text1"/>
                <w:sz w:val="20"/>
                <w:szCs w:val="20"/>
              </w:rPr>
              <w:t xml:space="preserve"> and 3G at </w:t>
            </w:r>
            <w:proofErr w:type="spellStart"/>
            <w:r>
              <w:rPr>
                <w:rFonts w:eastAsia="Calibri" w:cs="Arial"/>
                <w:color w:val="000000" w:themeColor="text1"/>
                <w:sz w:val="20"/>
                <w:szCs w:val="20"/>
              </w:rPr>
              <w:t>Treborth</w:t>
            </w:r>
            <w:proofErr w:type="spellEnd"/>
            <w:r>
              <w:rPr>
                <w:rFonts w:eastAsia="Calibri" w:cs="Arial"/>
                <w:color w:val="000000" w:themeColor="text1"/>
                <w:sz w:val="20"/>
                <w:szCs w:val="20"/>
              </w:rPr>
              <w:t xml:space="preserve">, </w:t>
            </w:r>
            <w:r w:rsidR="002F2A99">
              <w:rPr>
                <w:rFonts w:eastAsia="Calibri" w:cs="Arial"/>
                <w:color w:val="000000" w:themeColor="text1"/>
                <w:sz w:val="20"/>
                <w:szCs w:val="20"/>
              </w:rPr>
              <w:t>work</w:t>
            </w:r>
            <w:r w:rsidRPr="006842BE">
              <w:rPr>
                <w:rFonts w:eastAsia="Calibri" w:cs="Arial"/>
                <w:color w:val="000000" w:themeColor="text1"/>
                <w:sz w:val="20"/>
                <w:szCs w:val="20"/>
              </w:rPr>
              <w:t xml:space="preserve"> to provide a range of sports activities </w:t>
            </w:r>
            <w:r w:rsidR="002F2A99">
              <w:rPr>
                <w:rFonts w:eastAsia="Calibri" w:cs="Arial"/>
                <w:color w:val="000000" w:themeColor="text1"/>
                <w:sz w:val="20"/>
                <w:szCs w:val="20"/>
              </w:rPr>
              <w:t>which are accessible</w:t>
            </w:r>
            <w:r>
              <w:rPr>
                <w:rFonts w:eastAsia="Calibri" w:cs="Arial"/>
                <w:color w:val="000000" w:themeColor="text1"/>
                <w:sz w:val="20"/>
                <w:szCs w:val="20"/>
              </w:rPr>
              <w:t xml:space="preserve"> </w:t>
            </w:r>
            <w:r w:rsidRPr="006842BE">
              <w:rPr>
                <w:rFonts w:eastAsia="Calibri" w:cs="Arial"/>
                <w:color w:val="000000" w:themeColor="text1"/>
                <w:sz w:val="20"/>
                <w:szCs w:val="20"/>
              </w:rPr>
              <w:t>to the community</w:t>
            </w:r>
            <w:r>
              <w:rPr>
                <w:rFonts w:eastAsia="Calibri" w:cs="Arial"/>
                <w:color w:val="000000" w:themeColor="text1"/>
                <w:sz w:val="20"/>
                <w:szCs w:val="20"/>
              </w:rPr>
              <w:t>.</w:t>
            </w:r>
          </w:p>
          <w:p w14:paraId="54808CE4" w14:textId="77777777" w:rsidR="005667D2" w:rsidRDefault="005667D2" w:rsidP="005667D2">
            <w:pPr>
              <w:pStyle w:val="ListParagraph"/>
              <w:numPr>
                <w:ilvl w:val="0"/>
                <w:numId w:val="34"/>
              </w:numPr>
              <w:rPr>
                <w:rFonts w:eastAsia="Calibri" w:cs="Arial"/>
                <w:color w:val="000000" w:themeColor="text1"/>
                <w:sz w:val="20"/>
                <w:szCs w:val="20"/>
              </w:rPr>
            </w:pPr>
            <w:r w:rsidRPr="006842BE">
              <w:rPr>
                <w:rFonts w:eastAsia="Calibri" w:cs="Arial"/>
                <w:color w:val="000000" w:themeColor="text1"/>
                <w:sz w:val="20"/>
                <w:szCs w:val="20"/>
              </w:rPr>
              <w:t xml:space="preserve">Ensure that the University’s expertise in Health and Wellbeing is </w:t>
            </w:r>
            <w:r>
              <w:rPr>
                <w:rFonts w:eastAsia="Calibri" w:cs="Arial"/>
                <w:color w:val="000000" w:themeColor="text1"/>
                <w:sz w:val="20"/>
                <w:szCs w:val="20"/>
              </w:rPr>
              <w:t>de</w:t>
            </w:r>
            <w:r w:rsidRPr="006842BE">
              <w:rPr>
                <w:rFonts w:eastAsia="Calibri" w:cs="Arial"/>
                <w:color w:val="000000" w:themeColor="text1"/>
                <w:sz w:val="20"/>
                <w:szCs w:val="20"/>
              </w:rPr>
              <w:t>ployed for community benefit (e.g</w:t>
            </w:r>
            <w:r>
              <w:rPr>
                <w:rFonts w:eastAsia="Calibri" w:cs="Arial"/>
                <w:color w:val="000000" w:themeColor="text1"/>
                <w:sz w:val="20"/>
                <w:szCs w:val="20"/>
              </w:rPr>
              <w:t xml:space="preserve">. mindfulness community sessions, wellness walks at </w:t>
            </w:r>
            <w:proofErr w:type="spellStart"/>
            <w:r>
              <w:rPr>
                <w:rFonts w:eastAsia="Calibri" w:cs="Arial"/>
                <w:color w:val="000000" w:themeColor="text1"/>
                <w:sz w:val="20"/>
                <w:szCs w:val="20"/>
              </w:rPr>
              <w:t>Treborth</w:t>
            </w:r>
            <w:proofErr w:type="spellEnd"/>
            <w:r w:rsidRPr="006842BE">
              <w:rPr>
                <w:rFonts w:eastAsia="Calibri" w:cs="Arial"/>
                <w:color w:val="000000" w:themeColor="text1"/>
                <w:sz w:val="20"/>
                <w:szCs w:val="20"/>
              </w:rPr>
              <w:t>)</w:t>
            </w:r>
          </w:p>
          <w:p w14:paraId="62A9E1DD" w14:textId="4F9757A3" w:rsidR="005667D2" w:rsidRPr="000D502C" w:rsidRDefault="005667D2" w:rsidP="005667D2">
            <w:pPr>
              <w:pStyle w:val="ListParagraph"/>
              <w:numPr>
                <w:ilvl w:val="0"/>
                <w:numId w:val="34"/>
              </w:numPr>
              <w:rPr>
                <w:rFonts w:eastAsia="Calibri" w:cs="Arial"/>
                <w:color w:val="000000" w:themeColor="text1"/>
                <w:sz w:val="20"/>
                <w:szCs w:val="20"/>
              </w:rPr>
            </w:pPr>
            <w:r w:rsidRPr="5B7365AA">
              <w:rPr>
                <w:rFonts w:eastAsia="Calibri" w:cs="Arial"/>
                <w:color w:val="000000" w:themeColor="text1"/>
                <w:sz w:val="20"/>
                <w:szCs w:val="20"/>
              </w:rPr>
              <w:t xml:space="preserve">Maximise the potential of </w:t>
            </w:r>
            <w:proofErr w:type="spellStart"/>
            <w:r w:rsidRPr="5B7365AA">
              <w:rPr>
                <w:rFonts w:eastAsia="Calibri" w:cs="Arial"/>
                <w:color w:val="000000" w:themeColor="text1"/>
                <w:sz w:val="20"/>
                <w:szCs w:val="20"/>
              </w:rPr>
              <w:t>Treborth</w:t>
            </w:r>
            <w:proofErr w:type="spellEnd"/>
            <w:r w:rsidRPr="5B7365AA">
              <w:rPr>
                <w:rFonts w:eastAsia="Calibri" w:cs="Arial"/>
                <w:color w:val="000000" w:themeColor="text1"/>
                <w:sz w:val="20"/>
                <w:szCs w:val="20"/>
              </w:rPr>
              <w:t xml:space="preserve"> Gardens for use by a broad range of demographics to highlight and support wellbeing and environmental initiatives.   </w:t>
            </w:r>
          </w:p>
          <w:p w14:paraId="2A4ACFBA" w14:textId="2806A364" w:rsidR="005667D2" w:rsidRPr="008A0106" w:rsidRDefault="005667D2" w:rsidP="005667D2">
            <w:pPr>
              <w:pStyle w:val="ListParagraph"/>
              <w:numPr>
                <w:ilvl w:val="0"/>
                <w:numId w:val="35"/>
              </w:numPr>
              <w:rPr>
                <w:rFonts w:eastAsia="Calibri" w:cs="Arial"/>
                <w:color w:val="000000" w:themeColor="text1"/>
                <w:sz w:val="20"/>
                <w:szCs w:val="20"/>
              </w:rPr>
            </w:pPr>
            <w:r w:rsidRPr="5B7365AA">
              <w:rPr>
                <w:rFonts w:eastAsia="Calibri" w:cs="Arial"/>
                <w:color w:val="000000" w:themeColor="text1"/>
                <w:sz w:val="20"/>
                <w:szCs w:val="20"/>
              </w:rPr>
              <w:t>Hold and participate in an engaging range of activities and events that allow communities to learn about and engage with areas of academic expertise</w:t>
            </w:r>
            <w:r w:rsidR="00B35A99">
              <w:rPr>
                <w:rFonts w:eastAsia="Calibri" w:cs="Arial"/>
                <w:color w:val="000000" w:themeColor="text1"/>
                <w:sz w:val="20"/>
                <w:szCs w:val="20"/>
              </w:rPr>
              <w:t xml:space="preserve"> (e.g. Science Festival).</w:t>
            </w:r>
          </w:p>
          <w:p w14:paraId="4E7032A0" w14:textId="77777777" w:rsidR="005667D2" w:rsidRPr="005667D2" w:rsidRDefault="005667D2" w:rsidP="005667D2">
            <w:pPr>
              <w:pStyle w:val="ListParagraph"/>
              <w:numPr>
                <w:ilvl w:val="0"/>
                <w:numId w:val="35"/>
              </w:numPr>
              <w:rPr>
                <w:rFonts w:eastAsia="Aptos" w:cs="Arial"/>
                <w:color w:val="000000" w:themeColor="text1"/>
                <w:sz w:val="20"/>
                <w:szCs w:val="20"/>
              </w:rPr>
            </w:pPr>
            <w:r w:rsidRPr="005F78C9">
              <w:rPr>
                <w:rFonts w:eastAsia="Calibri" w:cs="Arial"/>
                <w:color w:val="000000" w:themeColor="text1"/>
                <w:sz w:val="20"/>
                <w:szCs w:val="20"/>
              </w:rPr>
              <w:t xml:space="preserve">Establish and maintain a public lecture series, providing students, staff and the community with </w:t>
            </w:r>
            <w:r w:rsidRPr="005F78C9">
              <w:rPr>
                <w:rFonts w:eastAsia="Aptos" w:cs="Arial"/>
                <w:color w:val="000000" w:themeColor="text1"/>
                <w:sz w:val="20"/>
                <w:szCs w:val="20"/>
              </w:rPr>
              <w:t xml:space="preserve">an opportunity to access the expertise of leading academics, researchers, and / or experts in </w:t>
            </w:r>
            <w:r w:rsidRPr="005F78C9">
              <w:rPr>
                <w:rFonts w:eastAsia="Aptos" w:cs="Arial"/>
                <w:color w:val="000000" w:themeColor="text1"/>
                <w:sz w:val="20"/>
                <w:szCs w:val="20"/>
                <w:lang w:val="en-US"/>
              </w:rPr>
              <w:t>a variety of subjects, in the arts, humanities, sciences, social sciences, and health.</w:t>
            </w:r>
          </w:p>
          <w:p w14:paraId="6A23FCA2" w14:textId="634E506C" w:rsidR="00597577" w:rsidRPr="002F2A99" w:rsidRDefault="00597577" w:rsidP="002F2A99">
            <w:pPr>
              <w:ind w:left="360"/>
              <w:rPr>
                <w:rFonts w:eastAsia="Aptos" w:cs="Arial"/>
                <w:color w:val="000000" w:themeColor="text1"/>
                <w:sz w:val="20"/>
                <w:szCs w:val="20"/>
              </w:rPr>
            </w:pPr>
          </w:p>
        </w:tc>
      </w:tr>
    </w:tbl>
    <w:p w14:paraId="268C8C1F" w14:textId="1ABB3297" w:rsidR="00A34458" w:rsidRDefault="00A34458" w:rsidP="009C5A7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1"/>
        <w:gridCol w:w="9207"/>
      </w:tblGrid>
      <w:tr w:rsidR="00612845" w:rsidRPr="005711A4" w14:paraId="40D5D432" w14:textId="77777777" w:rsidTr="00EE15A7">
        <w:tc>
          <w:tcPr>
            <w:tcW w:w="9628" w:type="dxa"/>
            <w:gridSpan w:val="2"/>
            <w:shd w:val="clear" w:color="auto" w:fill="000000" w:themeFill="text1"/>
            <w:vAlign w:val="center"/>
          </w:tcPr>
          <w:p w14:paraId="5FBF16AD" w14:textId="77777777" w:rsidR="00612845" w:rsidRPr="005711A4" w:rsidRDefault="00612845" w:rsidP="00EE15A7">
            <w:pPr>
              <w:pStyle w:val="ListParagraph"/>
              <w:numPr>
                <w:ilvl w:val="0"/>
                <w:numId w:val="2"/>
              </w:numPr>
              <w:spacing w:after="120"/>
              <w:rPr>
                <w:rFonts w:cs="Arial"/>
                <w:b/>
                <w:sz w:val="20"/>
                <w:szCs w:val="20"/>
                <w:u w:val="single"/>
              </w:rPr>
            </w:pPr>
            <w:r>
              <w:rPr>
                <w:rFonts w:cs="Arial"/>
                <w:b/>
                <w:bCs/>
                <w:sz w:val="20"/>
                <w:szCs w:val="20"/>
              </w:rPr>
              <w:t xml:space="preserve">Critical Success Factors </w:t>
            </w:r>
          </w:p>
        </w:tc>
      </w:tr>
      <w:tr w:rsidR="00612845" w:rsidRPr="005711A4" w14:paraId="6A218A6D" w14:textId="77777777" w:rsidTr="00EE15A7">
        <w:tc>
          <w:tcPr>
            <w:tcW w:w="9628" w:type="dxa"/>
            <w:gridSpan w:val="2"/>
            <w:shd w:val="clear" w:color="auto" w:fill="auto"/>
            <w:vAlign w:val="center"/>
          </w:tcPr>
          <w:p w14:paraId="663A6AD6" w14:textId="77777777" w:rsidR="00612845" w:rsidRPr="00D04D18" w:rsidRDefault="00612845" w:rsidP="00EE15A7">
            <w:pPr>
              <w:spacing w:after="120"/>
              <w:rPr>
                <w:rFonts w:cs="Arial"/>
                <w:sz w:val="20"/>
                <w:szCs w:val="20"/>
              </w:rPr>
            </w:pPr>
            <w:r>
              <w:rPr>
                <w:rFonts w:cs="Arial"/>
                <w:sz w:val="20"/>
                <w:szCs w:val="20"/>
              </w:rPr>
              <w:t>These are the primary measures of success for Strategy 2030 and have been agreed between the Council and Vice Chancellor will be reported to Council as part of the University’s annual integrated performance report to provide assurance that performance is sufficient to realise the University’s strategic objectives.</w:t>
            </w:r>
          </w:p>
        </w:tc>
      </w:tr>
      <w:tr w:rsidR="00612845" w:rsidRPr="005711A4" w14:paraId="4A046593" w14:textId="77777777" w:rsidTr="00EE15A7">
        <w:tc>
          <w:tcPr>
            <w:tcW w:w="421" w:type="dxa"/>
            <w:shd w:val="clear" w:color="auto" w:fill="auto"/>
            <w:vAlign w:val="center"/>
          </w:tcPr>
          <w:p w14:paraId="23C86D03" w14:textId="205CEE1A" w:rsidR="00612845" w:rsidRPr="002C34AB" w:rsidRDefault="00612845" w:rsidP="00EE15A7">
            <w:pPr>
              <w:spacing w:after="120"/>
              <w:rPr>
                <w:rFonts w:cs="Arial"/>
                <w:color w:val="000000" w:themeColor="text1"/>
                <w:sz w:val="20"/>
                <w:szCs w:val="20"/>
              </w:rPr>
            </w:pPr>
            <w:r w:rsidRPr="002C34AB">
              <w:rPr>
                <w:rFonts w:cs="Arial"/>
                <w:color w:val="000000" w:themeColor="text1"/>
                <w:sz w:val="20"/>
                <w:szCs w:val="20"/>
              </w:rPr>
              <w:t>1.</w:t>
            </w:r>
          </w:p>
        </w:tc>
        <w:tc>
          <w:tcPr>
            <w:tcW w:w="9207" w:type="dxa"/>
            <w:shd w:val="clear" w:color="auto" w:fill="auto"/>
            <w:vAlign w:val="center"/>
          </w:tcPr>
          <w:p w14:paraId="5B0AD7C4" w14:textId="786EDC36" w:rsidR="00612845" w:rsidRPr="002C34AB" w:rsidRDefault="006D7295" w:rsidP="00EE15A7">
            <w:pPr>
              <w:spacing w:after="120"/>
              <w:rPr>
                <w:rFonts w:cs="Arial"/>
                <w:color w:val="000000" w:themeColor="text1"/>
                <w:sz w:val="20"/>
                <w:szCs w:val="20"/>
              </w:rPr>
            </w:pPr>
            <w:r w:rsidRPr="002C34AB">
              <w:rPr>
                <w:rFonts w:cs="Arial"/>
                <w:color w:val="000000" w:themeColor="text1"/>
                <w:sz w:val="20"/>
                <w:szCs w:val="20"/>
              </w:rPr>
              <w:t>Increase attendance at designated public events by greater than or equal to 2% per year</w:t>
            </w:r>
          </w:p>
        </w:tc>
      </w:tr>
    </w:tbl>
    <w:p w14:paraId="7FF3407E" w14:textId="77777777" w:rsidR="002F1294" w:rsidRDefault="002F1294" w:rsidP="009C5A7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1"/>
        <w:gridCol w:w="9207"/>
      </w:tblGrid>
      <w:tr w:rsidR="00D04D18" w:rsidRPr="005711A4" w14:paraId="345A90E7" w14:textId="77777777" w:rsidTr="007E5CAB">
        <w:tc>
          <w:tcPr>
            <w:tcW w:w="9628" w:type="dxa"/>
            <w:gridSpan w:val="2"/>
            <w:shd w:val="clear" w:color="auto" w:fill="000000" w:themeFill="text1"/>
            <w:vAlign w:val="center"/>
          </w:tcPr>
          <w:p w14:paraId="434B21C0" w14:textId="4A81B0F4" w:rsidR="00D04D18" w:rsidRPr="005711A4" w:rsidRDefault="00D04D18" w:rsidP="009C5A73">
            <w:pPr>
              <w:pStyle w:val="ListParagraph"/>
              <w:numPr>
                <w:ilvl w:val="0"/>
                <w:numId w:val="2"/>
              </w:numPr>
              <w:spacing w:after="120"/>
              <w:rPr>
                <w:rFonts w:cs="Arial"/>
                <w:b/>
                <w:sz w:val="20"/>
                <w:szCs w:val="20"/>
                <w:u w:val="single"/>
              </w:rPr>
            </w:pPr>
            <w:r>
              <w:rPr>
                <w:rFonts w:cs="Arial"/>
                <w:b/>
                <w:bCs/>
                <w:sz w:val="20"/>
                <w:szCs w:val="20"/>
              </w:rPr>
              <w:t>Key Performance Indicators</w:t>
            </w:r>
          </w:p>
        </w:tc>
      </w:tr>
      <w:tr w:rsidR="00D04D18" w:rsidRPr="005711A4" w14:paraId="6B55737D" w14:textId="77777777" w:rsidTr="007E5CAB">
        <w:tc>
          <w:tcPr>
            <w:tcW w:w="9628" w:type="dxa"/>
            <w:gridSpan w:val="2"/>
            <w:shd w:val="clear" w:color="auto" w:fill="auto"/>
            <w:vAlign w:val="center"/>
          </w:tcPr>
          <w:p w14:paraId="1175B2B5" w14:textId="61B492E7" w:rsidR="00D04D18" w:rsidRPr="00D04D18" w:rsidRDefault="00A34C87" w:rsidP="009C5A73">
            <w:pPr>
              <w:spacing w:after="120"/>
              <w:rPr>
                <w:rFonts w:cs="Arial"/>
                <w:sz w:val="20"/>
                <w:szCs w:val="20"/>
              </w:rPr>
            </w:pPr>
            <w:r>
              <w:rPr>
                <w:rFonts w:cs="Arial"/>
                <w:sz w:val="20"/>
                <w:szCs w:val="20"/>
              </w:rPr>
              <w:t>Each strategy should contain 3 key performance indicators which should be accompanied by a target</w:t>
            </w:r>
            <w:r w:rsidRPr="00400FFF">
              <w:rPr>
                <w:rFonts w:cs="Arial"/>
                <w:sz w:val="20"/>
                <w:szCs w:val="20"/>
              </w:rPr>
              <w:t>.</w:t>
            </w:r>
            <w:r>
              <w:rPr>
                <w:rFonts w:cs="Arial"/>
                <w:sz w:val="20"/>
                <w:szCs w:val="20"/>
              </w:rPr>
              <w:t xml:space="preserve"> These will be reported to Council as part of the University’s annual integrated performance report to provide assurance that performance is sufficient to realise the University’s strategic objectives</w:t>
            </w:r>
          </w:p>
        </w:tc>
      </w:tr>
      <w:tr w:rsidR="007E5CAB" w:rsidRPr="005711A4" w14:paraId="6022F3B1" w14:textId="77777777" w:rsidTr="007E5CAB">
        <w:tc>
          <w:tcPr>
            <w:tcW w:w="421" w:type="dxa"/>
            <w:shd w:val="clear" w:color="auto" w:fill="auto"/>
            <w:vAlign w:val="center"/>
          </w:tcPr>
          <w:p w14:paraId="5B3E6FA2" w14:textId="5E576A5B" w:rsidR="007E5CAB" w:rsidRPr="002C34AB" w:rsidRDefault="007E5CAB" w:rsidP="009C5A73">
            <w:pPr>
              <w:spacing w:after="120"/>
              <w:rPr>
                <w:rFonts w:cs="Arial"/>
                <w:color w:val="000000" w:themeColor="text1"/>
                <w:sz w:val="20"/>
                <w:szCs w:val="20"/>
              </w:rPr>
            </w:pPr>
            <w:r w:rsidRPr="002C34AB">
              <w:rPr>
                <w:rFonts w:cs="Arial"/>
                <w:color w:val="000000" w:themeColor="text1"/>
                <w:sz w:val="20"/>
                <w:szCs w:val="20"/>
              </w:rPr>
              <w:t>1.</w:t>
            </w:r>
          </w:p>
        </w:tc>
        <w:tc>
          <w:tcPr>
            <w:tcW w:w="9207" w:type="dxa"/>
            <w:shd w:val="clear" w:color="auto" w:fill="auto"/>
            <w:vAlign w:val="center"/>
          </w:tcPr>
          <w:p w14:paraId="7162389E" w14:textId="16A36F38" w:rsidR="007E5CAB" w:rsidRPr="002C34AB" w:rsidRDefault="001E227C" w:rsidP="009C5A73">
            <w:pPr>
              <w:spacing w:after="120"/>
              <w:rPr>
                <w:rFonts w:cs="Arial"/>
                <w:color w:val="000000" w:themeColor="text1"/>
                <w:sz w:val="20"/>
                <w:szCs w:val="20"/>
              </w:rPr>
            </w:pPr>
            <w:r w:rsidRPr="002C34AB">
              <w:rPr>
                <w:rFonts w:cs="Arial"/>
                <w:color w:val="000000" w:themeColor="text1"/>
                <w:sz w:val="20"/>
                <w:szCs w:val="20"/>
              </w:rPr>
              <w:t>No. of enrolments on regional FE/industry collaborative degree apprenticeship programmes</w:t>
            </w:r>
            <w:r w:rsidR="003F1EB8" w:rsidRPr="002C34AB">
              <w:rPr>
                <w:rFonts w:cs="Arial"/>
                <w:color w:val="000000" w:themeColor="text1"/>
                <w:sz w:val="20"/>
                <w:szCs w:val="20"/>
              </w:rPr>
              <w:t xml:space="preserve"> (maintain at 100, subject to HEFCW funding availability)</w:t>
            </w:r>
          </w:p>
        </w:tc>
      </w:tr>
      <w:tr w:rsidR="007E5CAB" w:rsidRPr="005711A4" w14:paraId="1047EB32" w14:textId="77777777" w:rsidTr="007E5CAB">
        <w:tc>
          <w:tcPr>
            <w:tcW w:w="421" w:type="dxa"/>
            <w:shd w:val="clear" w:color="auto" w:fill="auto"/>
            <w:vAlign w:val="center"/>
          </w:tcPr>
          <w:p w14:paraId="7483AC81" w14:textId="1542A1E9" w:rsidR="007E5CAB" w:rsidRPr="00400FFF" w:rsidRDefault="007E5CAB" w:rsidP="009C5A73">
            <w:pPr>
              <w:spacing w:after="120"/>
              <w:rPr>
                <w:rFonts w:cs="Arial"/>
                <w:sz w:val="20"/>
                <w:szCs w:val="20"/>
              </w:rPr>
            </w:pPr>
            <w:r>
              <w:rPr>
                <w:rFonts w:cs="Arial"/>
                <w:sz w:val="20"/>
                <w:szCs w:val="20"/>
              </w:rPr>
              <w:t>2.</w:t>
            </w:r>
          </w:p>
        </w:tc>
        <w:tc>
          <w:tcPr>
            <w:tcW w:w="9207" w:type="dxa"/>
            <w:shd w:val="clear" w:color="auto" w:fill="auto"/>
            <w:vAlign w:val="center"/>
          </w:tcPr>
          <w:p w14:paraId="20239640" w14:textId="25AAA14D" w:rsidR="007E5CAB" w:rsidRPr="002C34AB" w:rsidRDefault="00597577" w:rsidP="009C5A73">
            <w:pPr>
              <w:spacing w:after="120"/>
              <w:rPr>
                <w:rFonts w:cs="Arial"/>
                <w:color w:val="FF0000"/>
                <w:sz w:val="20"/>
                <w:szCs w:val="20"/>
              </w:rPr>
            </w:pPr>
            <w:r>
              <w:rPr>
                <w:rFonts w:cs="Arial"/>
                <w:sz w:val="20"/>
                <w:szCs w:val="20"/>
              </w:rPr>
              <w:t>N</w:t>
            </w:r>
            <w:r w:rsidR="003F1EB8">
              <w:rPr>
                <w:rFonts w:cs="Arial"/>
                <w:sz w:val="20"/>
                <w:szCs w:val="20"/>
              </w:rPr>
              <w:t>o.</w:t>
            </w:r>
            <w:r>
              <w:rPr>
                <w:rFonts w:cs="Arial"/>
                <w:sz w:val="20"/>
                <w:szCs w:val="20"/>
              </w:rPr>
              <w:t xml:space="preserve"> of students who volunteer</w:t>
            </w:r>
            <w:r w:rsidR="00D9545B">
              <w:rPr>
                <w:rFonts w:cs="Arial"/>
                <w:sz w:val="20"/>
                <w:szCs w:val="20"/>
              </w:rPr>
              <w:t xml:space="preserve"> (increase by 5%</w:t>
            </w:r>
            <w:r w:rsidR="001E227C">
              <w:rPr>
                <w:rFonts w:cs="Arial"/>
                <w:sz w:val="20"/>
                <w:szCs w:val="20"/>
              </w:rPr>
              <w:t xml:space="preserve"> p.a.</w:t>
            </w:r>
            <w:r w:rsidR="00D9545B">
              <w:rPr>
                <w:rFonts w:cs="Arial"/>
                <w:sz w:val="20"/>
                <w:szCs w:val="20"/>
              </w:rPr>
              <w:t>).</w:t>
            </w:r>
          </w:p>
        </w:tc>
      </w:tr>
      <w:tr w:rsidR="007E5CAB" w:rsidRPr="005711A4" w14:paraId="28AEBE9F" w14:textId="77777777" w:rsidTr="007E5CAB">
        <w:tc>
          <w:tcPr>
            <w:tcW w:w="421" w:type="dxa"/>
            <w:shd w:val="clear" w:color="auto" w:fill="auto"/>
            <w:vAlign w:val="center"/>
          </w:tcPr>
          <w:p w14:paraId="63136FA0" w14:textId="0D8F2AFB" w:rsidR="007E5CAB" w:rsidRPr="00400FFF" w:rsidRDefault="007E5CAB" w:rsidP="009C5A73">
            <w:pPr>
              <w:spacing w:after="120"/>
              <w:rPr>
                <w:rFonts w:cs="Arial"/>
                <w:sz w:val="20"/>
                <w:szCs w:val="20"/>
              </w:rPr>
            </w:pPr>
            <w:r>
              <w:rPr>
                <w:rFonts w:cs="Arial"/>
                <w:sz w:val="20"/>
                <w:szCs w:val="20"/>
              </w:rPr>
              <w:t>3.</w:t>
            </w:r>
          </w:p>
        </w:tc>
        <w:tc>
          <w:tcPr>
            <w:tcW w:w="9207" w:type="dxa"/>
            <w:shd w:val="clear" w:color="auto" w:fill="auto"/>
            <w:vAlign w:val="center"/>
          </w:tcPr>
          <w:p w14:paraId="32169DC1" w14:textId="67191CF2" w:rsidR="007E5CAB" w:rsidRPr="00400FFF" w:rsidRDefault="00B35A99" w:rsidP="009C5A73">
            <w:pPr>
              <w:spacing w:after="120"/>
              <w:rPr>
                <w:rFonts w:cs="Arial"/>
                <w:sz w:val="20"/>
                <w:szCs w:val="20"/>
              </w:rPr>
            </w:pPr>
            <w:r>
              <w:rPr>
                <w:rFonts w:cs="Arial"/>
                <w:sz w:val="20"/>
                <w:szCs w:val="20"/>
              </w:rPr>
              <w:t>No. of strategic partnerships with local and national companies and enterprises (increase by 5% p.a.).</w:t>
            </w:r>
          </w:p>
        </w:tc>
      </w:tr>
    </w:tbl>
    <w:p w14:paraId="1A9080BB" w14:textId="77777777" w:rsidR="00D04D18" w:rsidRDefault="00D04D18" w:rsidP="009C5A7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1"/>
        <w:gridCol w:w="9207"/>
      </w:tblGrid>
      <w:tr w:rsidR="00E95868" w:rsidRPr="005711A4" w14:paraId="4C420876" w14:textId="77777777" w:rsidTr="00CD6F7F">
        <w:tc>
          <w:tcPr>
            <w:tcW w:w="9628" w:type="dxa"/>
            <w:gridSpan w:val="2"/>
            <w:shd w:val="clear" w:color="auto" w:fill="000000" w:themeFill="text1"/>
            <w:vAlign w:val="center"/>
          </w:tcPr>
          <w:p w14:paraId="64B9F03C" w14:textId="61BB71D7" w:rsidR="00E95868" w:rsidRPr="005711A4" w:rsidRDefault="00A34C87" w:rsidP="00CD6F7F">
            <w:pPr>
              <w:pStyle w:val="ListParagraph"/>
              <w:numPr>
                <w:ilvl w:val="0"/>
                <w:numId w:val="2"/>
              </w:numPr>
              <w:spacing w:after="120"/>
              <w:rPr>
                <w:rFonts w:cs="Arial"/>
                <w:b/>
                <w:sz w:val="20"/>
                <w:szCs w:val="20"/>
                <w:u w:val="single"/>
              </w:rPr>
            </w:pPr>
            <w:r>
              <w:rPr>
                <w:rFonts w:cs="Arial"/>
                <w:b/>
                <w:bCs/>
                <w:sz w:val="20"/>
                <w:szCs w:val="20"/>
              </w:rPr>
              <w:t>Operational</w:t>
            </w:r>
            <w:r w:rsidR="00E95868">
              <w:rPr>
                <w:rFonts w:cs="Arial"/>
                <w:b/>
                <w:bCs/>
                <w:sz w:val="20"/>
                <w:szCs w:val="20"/>
              </w:rPr>
              <w:t xml:space="preserve"> Indicators</w:t>
            </w:r>
          </w:p>
        </w:tc>
      </w:tr>
      <w:tr w:rsidR="00E95868" w:rsidRPr="005711A4" w14:paraId="13F36FA8" w14:textId="77777777" w:rsidTr="00CD6F7F">
        <w:tc>
          <w:tcPr>
            <w:tcW w:w="9628" w:type="dxa"/>
            <w:gridSpan w:val="2"/>
            <w:shd w:val="clear" w:color="auto" w:fill="auto"/>
            <w:vAlign w:val="center"/>
          </w:tcPr>
          <w:p w14:paraId="1C4B6877" w14:textId="70982A7C" w:rsidR="00E95868" w:rsidRPr="00D04D18" w:rsidRDefault="00F9525B" w:rsidP="00CD6F7F">
            <w:pPr>
              <w:spacing w:after="120"/>
              <w:rPr>
                <w:rFonts w:cs="Arial"/>
                <w:sz w:val="20"/>
                <w:szCs w:val="20"/>
              </w:rPr>
            </w:pPr>
            <w:r>
              <w:rPr>
                <w:rFonts w:cs="Arial"/>
                <w:sz w:val="20"/>
                <w:szCs w:val="20"/>
              </w:rPr>
              <w:t>The Committee responsible for the strategy will further monitor p</w:t>
            </w:r>
            <w:r w:rsidR="00E95868" w:rsidRPr="00400FFF">
              <w:rPr>
                <w:rFonts w:cs="Arial"/>
                <w:sz w:val="20"/>
                <w:szCs w:val="20"/>
              </w:rPr>
              <w:t xml:space="preserve">rogress against each of </w:t>
            </w:r>
            <w:r w:rsidR="00E95868">
              <w:rPr>
                <w:rFonts w:cs="Arial"/>
                <w:sz w:val="20"/>
                <w:szCs w:val="20"/>
              </w:rPr>
              <w:t>the objectives</w:t>
            </w:r>
            <w:r w:rsidR="00E95868" w:rsidRPr="00400FFF">
              <w:rPr>
                <w:rFonts w:cs="Arial"/>
                <w:sz w:val="20"/>
                <w:szCs w:val="20"/>
              </w:rPr>
              <w:t xml:space="preserve"> through</w:t>
            </w:r>
            <w:r w:rsidR="00E95868">
              <w:rPr>
                <w:rFonts w:cs="Arial"/>
                <w:sz w:val="20"/>
                <w:szCs w:val="20"/>
              </w:rPr>
              <w:t xml:space="preserve"> </w:t>
            </w:r>
            <w:r>
              <w:rPr>
                <w:rFonts w:cs="Arial"/>
                <w:sz w:val="20"/>
                <w:szCs w:val="20"/>
              </w:rPr>
              <w:t xml:space="preserve">these additional </w:t>
            </w:r>
            <w:r w:rsidR="00E95868">
              <w:rPr>
                <w:rFonts w:cs="Arial"/>
                <w:sz w:val="20"/>
                <w:szCs w:val="20"/>
              </w:rPr>
              <w:t>key performance indicators (KPIs)</w:t>
            </w:r>
            <w:r w:rsidR="00E95868" w:rsidRPr="00400FFF">
              <w:rPr>
                <w:rFonts w:cs="Arial"/>
                <w:sz w:val="20"/>
                <w:szCs w:val="20"/>
              </w:rPr>
              <w:t>.</w:t>
            </w:r>
          </w:p>
        </w:tc>
      </w:tr>
      <w:tr w:rsidR="00E95868" w:rsidRPr="005711A4" w14:paraId="11449A1F" w14:textId="77777777" w:rsidTr="00CD6F7F">
        <w:tc>
          <w:tcPr>
            <w:tcW w:w="421" w:type="dxa"/>
            <w:shd w:val="clear" w:color="auto" w:fill="auto"/>
            <w:vAlign w:val="center"/>
          </w:tcPr>
          <w:p w14:paraId="6A13389A" w14:textId="4CB9B15C" w:rsidR="00E95868" w:rsidRPr="00400FFF" w:rsidRDefault="003F1EB8" w:rsidP="00CD6F7F">
            <w:pPr>
              <w:spacing w:after="120"/>
              <w:rPr>
                <w:rFonts w:cs="Arial"/>
                <w:sz w:val="20"/>
                <w:szCs w:val="20"/>
              </w:rPr>
            </w:pPr>
            <w:r>
              <w:rPr>
                <w:rFonts w:cs="Arial"/>
                <w:sz w:val="20"/>
                <w:szCs w:val="20"/>
              </w:rPr>
              <w:t>1</w:t>
            </w:r>
            <w:r w:rsidR="00E95868">
              <w:rPr>
                <w:rFonts w:cs="Arial"/>
                <w:sz w:val="20"/>
                <w:szCs w:val="20"/>
              </w:rPr>
              <w:t>.</w:t>
            </w:r>
          </w:p>
        </w:tc>
        <w:tc>
          <w:tcPr>
            <w:tcW w:w="9207" w:type="dxa"/>
            <w:shd w:val="clear" w:color="auto" w:fill="auto"/>
            <w:vAlign w:val="center"/>
          </w:tcPr>
          <w:p w14:paraId="7E6F5CB5" w14:textId="731CE3EB" w:rsidR="00E95868" w:rsidRPr="00400FFF" w:rsidRDefault="005667D2" w:rsidP="00CD6F7F">
            <w:pPr>
              <w:spacing w:after="120"/>
              <w:rPr>
                <w:rFonts w:cs="Arial"/>
                <w:sz w:val="20"/>
                <w:szCs w:val="20"/>
              </w:rPr>
            </w:pPr>
            <w:r>
              <w:rPr>
                <w:rFonts w:cs="Arial"/>
                <w:sz w:val="20"/>
                <w:szCs w:val="20"/>
              </w:rPr>
              <w:t xml:space="preserve">Increase the percentage of attendees at public facing and civic engagement badged events by 5% (objective 1, </w:t>
            </w:r>
            <w:r w:rsidR="002C34AB">
              <w:rPr>
                <w:rFonts w:cs="Arial"/>
                <w:sz w:val="20"/>
                <w:szCs w:val="20"/>
              </w:rPr>
              <w:t>2</w:t>
            </w:r>
            <w:r>
              <w:rPr>
                <w:rFonts w:cs="Arial"/>
                <w:sz w:val="20"/>
                <w:szCs w:val="20"/>
              </w:rPr>
              <w:t xml:space="preserve">, </w:t>
            </w:r>
            <w:r w:rsidR="002C34AB">
              <w:rPr>
                <w:rFonts w:cs="Arial"/>
                <w:sz w:val="20"/>
                <w:szCs w:val="20"/>
              </w:rPr>
              <w:t>3</w:t>
            </w:r>
            <w:r>
              <w:rPr>
                <w:rFonts w:cs="Arial"/>
                <w:sz w:val="20"/>
                <w:szCs w:val="20"/>
              </w:rPr>
              <w:t xml:space="preserve">, </w:t>
            </w:r>
            <w:r w:rsidR="002C34AB">
              <w:rPr>
                <w:rFonts w:cs="Arial"/>
                <w:sz w:val="20"/>
                <w:szCs w:val="20"/>
              </w:rPr>
              <w:t>4</w:t>
            </w:r>
            <w:r>
              <w:rPr>
                <w:rFonts w:cs="Arial"/>
                <w:sz w:val="20"/>
                <w:szCs w:val="20"/>
              </w:rPr>
              <w:t>)</w:t>
            </w:r>
            <w:r w:rsidR="00D9545B">
              <w:rPr>
                <w:rFonts w:cs="Arial"/>
                <w:sz w:val="20"/>
                <w:szCs w:val="20"/>
              </w:rPr>
              <w:t>.</w:t>
            </w:r>
          </w:p>
        </w:tc>
      </w:tr>
      <w:tr w:rsidR="00E95868" w:rsidRPr="005711A4" w14:paraId="002195B6" w14:textId="77777777" w:rsidTr="00CD6F7F">
        <w:tc>
          <w:tcPr>
            <w:tcW w:w="421" w:type="dxa"/>
            <w:shd w:val="clear" w:color="auto" w:fill="auto"/>
            <w:vAlign w:val="center"/>
          </w:tcPr>
          <w:p w14:paraId="0FD94F3D" w14:textId="10D06CE9" w:rsidR="00E95868" w:rsidRPr="00400FFF" w:rsidRDefault="00921AAA" w:rsidP="00CD6F7F">
            <w:pPr>
              <w:spacing w:after="120"/>
              <w:rPr>
                <w:rFonts w:cs="Arial"/>
                <w:sz w:val="20"/>
                <w:szCs w:val="20"/>
              </w:rPr>
            </w:pPr>
            <w:r>
              <w:rPr>
                <w:rFonts w:cs="Arial"/>
                <w:sz w:val="20"/>
                <w:szCs w:val="20"/>
              </w:rPr>
              <w:t>2</w:t>
            </w:r>
            <w:r w:rsidR="00E95868">
              <w:rPr>
                <w:rFonts w:cs="Arial"/>
                <w:sz w:val="20"/>
                <w:szCs w:val="20"/>
              </w:rPr>
              <w:t>.</w:t>
            </w:r>
          </w:p>
        </w:tc>
        <w:tc>
          <w:tcPr>
            <w:tcW w:w="9207" w:type="dxa"/>
            <w:shd w:val="clear" w:color="auto" w:fill="auto"/>
            <w:vAlign w:val="center"/>
          </w:tcPr>
          <w:p w14:paraId="1EC17E93" w14:textId="32DD1431" w:rsidR="00E95868" w:rsidRPr="00400FFF" w:rsidRDefault="005667D2" w:rsidP="00CD6F7F">
            <w:pPr>
              <w:spacing w:after="120"/>
              <w:rPr>
                <w:rFonts w:cs="Arial"/>
                <w:sz w:val="20"/>
                <w:szCs w:val="20"/>
              </w:rPr>
            </w:pPr>
            <w:r>
              <w:rPr>
                <w:rFonts w:cs="Arial"/>
                <w:sz w:val="20"/>
                <w:szCs w:val="20"/>
              </w:rPr>
              <w:t>Increase the percentage of research projects/grant applications that engage with societal change themes by 5%</w:t>
            </w:r>
            <w:r w:rsidRPr="00711C97">
              <w:rPr>
                <w:rFonts w:cs="Arial"/>
                <w:sz w:val="20"/>
                <w:szCs w:val="20"/>
              </w:rPr>
              <w:t xml:space="preserve"> (objective </w:t>
            </w:r>
            <w:r w:rsidR="002C34AB">
              <w:rPr>
                <w:rFonts w:cs="Arial"/>
                <w:sz w:val="20"/>
                <w:szCs w:val="20"/>
              </w:rPr>
              <w:t>3</w:t>
            </w:r>
            <w:r w:rsidRPr="00711C97">
              <w:rPr>
                <w:rFonts w:cs="Arial"/>
                <w:sz w:val="20"/>
                <w:szCs w:val="20"/>
              </w:rPr>
              <w:t>)</w:t>
            </w:r>
            <w:r w:rsidR="00D9545B">
              <w:rPr>
                <w:rFonts w:cs="Arial"/>
                <w:sz w:val="20"/>
                <w:szCs w:val="20"/>
              </w:rPr>
              <w:t>.</w:t>
            </w:r>
          </w:p>
        </w:tc>
      </w:tr>
      <w:tr w:rsidR="00565BEA" w:rsidRPr="005711A4" w14:paraId="3F778A2C" w14:textId="77777777" w:rsidTr="00CD6F7F">
        <w:tc>
          <w:tcPr>
            <w:tcW w:w="421" w:type="dxa"/>
            <w:shd w:val="clear" w:color="auto" w:fill="auto"/>
            <w:vAlign w:val="center"/>
          </w:tcPr>
          <w:p w14:paraId="2F351EBD" w14:textId="777A64AE" w:rsidR="00565BEA" w:rsidRPr="00400FFF" w:rsidRDefault="002F2A99" w:rsidP="00565BEA">
            <w:pPr>
              <w:spacing w:after="120"/>
              <w:rPr>
                <w:rFonts w:cs="Arial"/>
                <w:sz w:val="20"/>
                <w:szCs w:val="20"/>
              </w:rPr>
            </w:pPr>
            <w:r>
              <w:rPr>
                <w:rFonts w:cs="Arial"/>
                <w:sz w:val="20"/>
                <w:szCs w:val="20"/>
              </w:rPr>
              <w:t>3</w:t>
            </w:r>
            <w:r w:rsidR="00565BEA">
              <w:rPr>
                <w:rFonts w:cs="Arial"/>
                <w:sz w:val="20"/>
                <w:szCs w:val="20"/>
              </w:rPr>
              <w:t>.</w:t>
            </w:r>
          </w:p>
        </w:tc>
        <w:tc>
          <w:tcPr>
            <w:tcW w:w="9207" w:type="dxa"/>
            <w:shd w:val="clear" w:color="auto" w:fill="auto"/>
            <w:vAlign w:val="center"/>
          </w:tcPr>
          <w:p w14:paraId="23E91280" w14:textId="030E9248" w:rsidR="00565BEA" w:rsidRPr="00400FFF" w:rsidRDefault="00565BEA" w:rsidP="00565BEA">
            <w:pPr>
              <w:spacing w:after="120"/>
              <w:rPr>
                <w:rFonts w:cs="Arial"/>
                <w:sz w:val="20"/>
                <w:szCs w:val="20"/>
              </w:rPr>
            </w:pPr>
            <w:r>
              <w:rPr>
                <w:rFonts w:cs="Arial"/>
                <w:sz w:val="20"/>
                <w:szCs w:val="20"/>
              </w:rPr>
              <w:t xml:space="preserve">Increase the percentage of local companies supported via procurement by 5% (objective </w:t>
            </w:r>
            <w:r w:rsidR="002C34AB">
              <w:rPr>
                <w:rFonts w:cs="Arial"/>
                <w:sz w:val="20"/>
                <w:szCs w:val="20"/>
              </w:rPr>
              <w:t>3</w:t>
            </w:r>
            <w:r>
              <w:rPr>
                <w:rFonts w:cs="Arial"/>
                <w:sz w:val="20"/>
                <w:szCs w:val="20"/>
              </w:rPr>
              <w:t>)</w:t>
            </w:r>
            <w:r w:rsidR="00D9545B">
              <w:rPr>
                <w:rFonts w:cs="Arial"/>
                <w:sz w:val="20"/>
                <w:szCs w:val="20"/>
              </w:rPr>
              <w:t>.</w:t>
            </w:r>
          </w:p>
        </w:tc>
      </w:tr>
      <w:tr w:rsidR="00921AAA" w:rsidRPr="005711A4" w14:paraId="575D43A8" w14:textId="77777777" w:rsidTr="00CD6F7F">
        <w:tc>
          <w:tcPr>
            <w:tcW w:w="421" w:type="dxa"/>
            <w:shd w:val="clear" w:color="auto" w:fill="auto"/>
            <w:vAlign w:val="center"/>
          </w:tcPr>
          <w:p w14:paraId="5934E919" w14:textId="0AE50C81" w:rsidR="00921AAA" w:rsidRPr="002C34AB" w:rsidRDefault="002F2A99" w:rsidP="00565BEA">
            <w:pPr>
              <w:spacing w:after="120"/>
              <w:rPr>
                <w:rFonts w:cs="Arial"/>
                <w:color w:val="000000" w:themeColor="text1"/>
                <w:sz w:val="20"/>
                <w:szCs w:val="20"/>
              </w:rPr>
            </w:pPr>
            <w:r w:rsidRPr="002C34AB">
              <w:rPr>
                <w:rFonts w:cs="Arial"/>
                <w:color w:val="000000" w:themeColor="text1"/>
                <w:sz w:val="20"/>
                <w:szCs w:val="20"/>
              </w:rPr>
              <w:t>4</w:t>
            </w:r>
            <w:r w:rsidR="00921AAA" w:rsidRPr="002C34AB">
              <w:rPr>
                <w:rFonts w:cs="Arial"/>
                <w:color w:val="000000" w:themeColor="text1"/>
                <w:sz w:val="20"/>
                <w:szCs w:val="20"/>
              </w:rPr>
              <w:t>.</w:t>
            </w:r>
          </w:p>
        </w:tc>
        <w:tc>
          <w:tcPr>
            <w:tcW w:w="9207" w:type="dxa"/>
            <w:shd w:val="clear" w:color="auto" w:fill="auto"/>
            <w:vAlign w:val="center"/>
          </w:tcPr>
          <w:p w14:paraId="5DDF3767" w14:textId="055684F4" w:rsidR="00921AAA" w:rsidRPr="002C34AB" w:rsidRDefault="00921AAA" w:rsidP="00565BEA">
            <w:pPr>
              <w:spacing w:after="120"/>
              <w:rPr>
                <w:rFonts w:cs="Arial"/>
                <w:color w:val="000000" w:themeColor="text1"/>
                <w:sz w:val="20"/>
                <w:szCs w:val="20"/>
              </w:rPr>
            </w:pPr>
            <w:r w:rsidRPr="002C34AB">
              <w:rPr>
                <w:rFonts w:cs="Arial"/>
                <w:color w:val="000000" w:themeColor="text1"/>
                <w:sz w:val="20"/>
                <w:szCs w:val="20"/>
              </w:rPr>
              <w:t>Number of external stakeholders engaging with the University’s Community Board (</w:t>
            </w:r>
            <w:r w:rsidR="007B580C" w:rsidRPr="002C34AB">
              <w:rPr>
                <w:rFonts w:cs="Arial"/>
                <w:color w:val="000000" w:themeColor="text1"/>
                <w:sz w:val="20"/>
                <w:szCs w:val="20"/>
              </w:rPr>
              <w:t xml:space="preserve">objective </w:t>
            </w:r>
            <w:r w:rsidR="002C34AB">
              <w:rPr>
                <w:rFonts w:cs="Arial"/>
                <w:color w:val="000000" w:themeColor="text1"/>
                <w:sz w:val="20"/>
                <w:szCs w:val="20"/>
              </w:rPr>
              <w:t>2</w:t>
            </w:r>
            <w:r w:rsidRPr="002C34AB">
              <w:rPr>
                <w:rFonts w:cs="Arial"/>
                <w:color w:val="000000" w:themeColor="text1"/>
                <w:sz w:val="20"/>
                <w:szCs w:val="20"/>
              </w:rPr>
              <w:t>).</w:t>
            </w:r>
          </w:p>
        </w:tc>
      </w:tr>
    </w:tbl>
    <w:p w14:paraId="670AFB06" w14:textId="77777777" w:rsidR="004E1D43" w:rsidRPr="006C653D" w:rsidRDefault="004E1D43" w:rsidP="009C5A73">
      <w:pPr>
        <w:rPr>
          <w:rFonts w:cs="Arial"/>
          <w:sz w:val="22"/>
          <w:szCs w:val="22"/>
        </w:rPr>
      </w:pPr>
    </w:p>
    <w:p w14:paraId="268C8C3E" w14:textId="7823EB65" w:rsidR="00080F04" w:rsidRPr="006C653D" w:rsidRDefault="00080F04" w:rsidP="009C5A73">
      <w:pPr>
        <w:rPr>
          <w:rFonts w:cs="Arial"/>
          <w:vanish/>
          <w:sz w:val="22"/>
          <w:szCs w:val="22"/>
        </w:rPr>
      </w:pPr>
    </w:p>
    <w:sectPr w:rsidR="00080F04" w:rsidRPr="006C653D" w:rsidSect="00B519BF">
      <w:headerReference w:type="default" r:id="rId12"/>
      <w:footerReference w:type="default" r:id="rId13"/>
      <w:pgSz w:w="11906" w:h="16838"/>
      <w:pgMar w:top="1134" w:right="1134" w:bottom="1134" w:left="1134"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F108" w14:textId="77777777" w:rsidR="00173FCA" w:rsidRDefault="00173FCA" w:rsidP="00C724B3">
      <w:r>
        <w:separator/>
      </w:r>
    </w:p>
  </w:endnote>
  <w:endnote w:type="continuationSeparator" w:id="0">
    <w:p w14:paraId="6333D9C6" w14:textId="77777777" w:rsidR="00173FCA" w:rsidRDefault="00173FCA" w:rsidP="00C724B3">
      <w:r>
        <w:continuationSeparator/>
      </w:r>
    </w:p>
  </w:endnote>
  <w:endnote w:type="continuationNotice" w:id="1">
    <w:p w14:paraId="60414FD1" w14:textId="77777777" w:rsidR="00173FCA" w:rsidRDefault="00173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92841191"/>
      <w:docPartObj>
        <w:docPartGallery w:val="Page Numbers (Bottom of Page)"/>
        <w:docPartUnique/>
      </w:docPartObj>
    </w:sdtPr>
    <w:sdtEndPr>
      <w:rPr>
        <w:noProof/>
      </w:rPr>
    </w:sdtEndPr>
    <w:sdtContent>
      <w:p w14:paraId="268C8C44" w14:textId="037B3843" w:rsidR="00950047" w:rsidRPr="001E55E9" w:rsidRDefault="00950047" w:rsidP="001E55E9">
        <w:pPr>
          <w:pStyle w:val="Footer"/>
          <w:jc w:val="center"/>
          <w:rPr>
            <w:rFonts w:asciiTheme="minorHAnsi" w:hAnsiTheme="minorHAnsi"/>
            <w:sz w:val="22"/>
            <w:szCs w:val="22"/>
          </w:rPr>
        </w:pPr>
        <w:r w:rsidRPr="001E55E9">
          <w:rPr>
            <w:rFonts w:asciiTheme="minorHAnsi" w:hAnsiTheme="minorHAnsi"/>
            <w:sz w:val="22"/>
            <w:szCs w:val="22"/>
          </w:rPr>
          <w:t xml:space="preserve">Page </w:t>
        </w:r>
        <w:r w:rsidRPr="001E55E9">
          <w:rPr>
            <w:rFonts w:asciiTheme="minorHAnsi" w:hAnsiTheme="minorHAnsi"/>
            <w:sz w:val="22"/>
            <w:szCs w:val="22"/>
          </w:rPr>
          <w:fldChar w:fldCharType="begin"/>
        </w:r>
        <w:r w:rsidRPr="001E55E9">
          <w:rPr>
            <w:rFonts w:asciiTheme="minorHAnsi" w:hAnsiTheme="minorHAnsi"/>
            <w:sz w:val="22"/>
            <w:szCs w:val="22"/>
          </w:rPr>
          <w:instrText xml:space="preserve"> PAGE   \* MERGEFORMAT </w:instrText>
        </w:r>
        <w:r w:rsidRPr="001E55E9">
          <w:rPr>
            <w:rFonts w:asciiTheme="minorHAnsi" w:hAnsiTheme="minorHAnsi"/>
            <w:sz w:val="22"/>
            <w:szCs w:val="22"/>
          </w:rPr>
          <w:fldChar w:fldCharType="separate"/>
        </w:r>
        <w:r w:rsidR="00BA0725">
          <w:rPr>
            <w:rFonts w:asciiTheme="minorHAnsi" w:hAnsiTheme="minorHAnsi"/>
            <w:noProof/>
            <w:sz w:val="22"/>
            <w:szCs w:val="22"/>
          </w:rPr>
          <w:t>4</w:t>
        </w:r>
        <w:r w:rsidRPr="001E55E9">
          <w:rPr>
            <w:rFonts w:asciiTheme="minorHAnsi" w:hAnsiTheme="minorHAnsi"/>
            <w:noProof/>
            <w:sz w:val="22"/>
            <w:szCs w:val="22"/>
          </w:rPr>
          <w:fldChar w:fldCharType="end"/>
        </w:r>
        <w:r w:rsidRPr="001E55E9">
          <w:rPr>
            <w:rFonts w:asciiTheme="minorHAnsi" w:hAnsiTheme="minorHAnsi"/>
            <w:noProof/>
            <w:sz w:val="22"/>
            <w:szCs w:val="22"/>
          </w:rPr>
          <w:t xml:space="preserve"> of </w:t>
        </w:r>
        <w:r w:rsidRPr="001E55E9">
          <w:rPr>
            <w:rFonts w:asciiTheme="minorHAnsi" w:hAnsiTheme="minorHAnsi"/>
            <w:noProof/>
            <w:sz w:val="22"/>
            <w:szCs w:val="22"/>
          </w:rPr>
          <w:fldChar w:fldCharType="begin"/>
        </w:r>
        <w:r w:rsidRPr="001E55E9">
          <w:rPr>
            <w:rFonts w:asciiTheme="minorHAnsi" w:hAnsiTheme="minorHAnsi"/>
            <w:noProof/>
            <w:sz w:val="22"/>
            <w:szCs w:val="22"/>
          </w:rPr>
          <w:instrText xml:space="preserve"> NUMPAGES   \* MERGEFORMAT </w:instrText>
        </w:r>
        <w:r w:rsidRPr="001E55E9">
          <w:rPr>
            <w:rFonts w:asciiTheme="minorHAnsi" w:hAnsiTheme="minorHAnsi"/>
            <w:noProof/>
            <w:sz w:val="22"/>
            <w:szCs w:val="22"/>
          </w:rPr>
          <w:fldChar w:fldCharType="separate"/>
        </w:r>
        <w:r w:rsidR="00BA0725">
          <w:rPr>
            <w:rFonts w:asciiTheme="minorHAnsi" w:hAnsiTheme="minorHAnsi"/>
            <w:noProof/>
            <w:sz w:val="22"/>
            <w:szCs w:val="22"/>
          </w:rPr>
          <w:t>4</w:t>
        </w:r>
        <w:r w:rsidRPr="001E55E9">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8711" w14:textId="77777777" w:rsidR="00173FCA" w:rsidRDefault="00173FCA" w:rsidP="00C724B3">
      <w:r>
        <w:separator/>
      </w:r>
    </w:p>
  </w:footnote>
  <w:footnote w:type="continuationSeparator" w:id="0">
    <w:p w14:paraId="71D90D63" w14:textId="77777777" w:rsidR="00173FCA" w:rsidRDefault="00173FCA" w:rsidP="00C724B3">
      <w:r>
        <w:continuationSeparator/>
      </w:r>
    </w:p>
  </w:footnote>
  <w:footnote w:type="continuationNotice" w:id="1">
    <w:p w14:paraId="6B657173" w14:textId="77777777" w:rsidR="00173FCA" w:rsidRDefault="00173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5504"/>
    </w:tblGrid>
    <w:tr w:rsidR="008362B7" w14:paraId="6D25D2CA" w14:textId="77777777" w:rsidTr="00F00368">
      <w:tc>
        <w:tcPr>
          <w:tcW w:w="7280" w:type="dxa"/>
        </w:tcPr>
        <w:p w14:paraId="3EA05211" w14:textId="73607599" w:rsidR="00F00368" w:rsidRPr="006C653D" w:rsidRDefault="006C653D" w:rsidP="00F00368">
          <w:pPr>
            <w:pStyle w:val="Header"/>
            <w:rPr>
              <w:rFonts w:ascii="Arial" w:hAnsi="Arial" w:cs="Arial"/>
              <w:sz w:val="22"/>
              <w:szCs w:val="22"/>
            </w:rPr>
          </w:pPr>
          <w:r>
            <w:rPr>
              <w:rFonts w:ascii="Arial" w:hAnsi="Arial" w:cs="Arial"/>
              <w:sz w:val="22"/>
              <w:szCs w:val="22"/>
            </w:rPr>
            <w:t xml:space="preserve">Bangor University: </w:t>
          </w:r>
          <w:r w:rsidR="00FA2E7A" w:rsidRPr="006C653D">
            <w:rPr>
              <w:rFonts w:ascii="Arial" w:hAnsi="Arial" w:cs="Arial"/>
              <w:sz w:val="22"/>
              <w:szCs w:val="22"/>
            </w:rPr>
            <w:t>Strategy 2030</w:t>
          </w:r>
        </w:p>
      </w:tc>
      <w:tc>
        <w:tcPr>
          <w:tcW w:w="7280" w:type="dxa"/>
        </w:tcPr>
        <w:p w14:paraId="2779224E" w14:textId="4A82CF09" w:rsidR="00F00368" w:rsidRPr="006C653D" w:rsidRDefault="00F00368" w:rsidP="00E674D5">
          <w:pPr>
            <w:pStyle w:val="Header"/>
            <w:jc w:val="right"/>
            <w:rPr>
              <w:rFonts w:ascii="Arial" w:hAnsi="Arial" w:cs="Arial"/>
              <w:sz w:val="22"/>
              <w:szCs w:val="22"/>
            </w:rPr>
          </w:pPr>
          <w:r w:rsidRPr="006C653D">
            <w:rPr>
              <w:rFonts w:ascii="Arial" w:hAnsi="Arial" w:cs="Arial"/>
              <w:sz w:val="22"/>
              <w:szCs w:val="22"/>
            </w:rPr>
            <w:tab/>
          </w:r>
          <w:r w:rsidR="00AB4DEC">
            <w:rPr>
              <w:rFonts w:ascii="Arial" w:hAnsi="Arial" w:cs="Arial"/>
              <w:sz w:val="22"/>
              <w:szCs w:val="22"/>
            </w:rPr>
            <w:t>Civic Engagement Strategy</w:t>
          </w:r>
        </w:p>
      </w:tc>
    </w:tr>
  </w:tbl>
  <w:p w14:paraId="3479F9AC" w14:textId="77777777" w:rsidR="0096035C" w:rsidRPr="001E55E9" w:rsidRDefault="0096035C" w:rsidP="00F00368">
    <w:pPr>
      <w:pStyle w:val="Head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7EA"/>
    <w:multiLevelType w:val="hybridMultilevel"/>
    <w:tmpl w:val="5892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15625"/>
    <w:multiLevelType w:val="hybridMultilevel"/>
    <w:tmpl w:val="369C80C8"/>
    <w:lvl w:ilvl="0" w:tplc="08090015">
      <w:start w:val="1"/>
      <w:numFmt w:val="upp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652648"/>
    <w:multiLevelType w:val="hybridMultilevel"/>
    <w:tmpl w:val="A66875FA"/>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30F74"/>
    <w:multiLevelType w:val="hybridMultilevel"/>
    <w:tmpl w:val="2368A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11A4D"/>
    <w:multiLevelType w:val="hybridMultilevel"/>
    <w:tmpl w:val="769A8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B45AA"/>
    <w:multiLevelType w:val="hybridMultilevel"/>
    <w:tmpl w:val="BE6A6B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4F536A"/>
    <w:multiLevelType w:val="hybridMultilevel"/>
    <w:tmpl w:val="9BE2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51765"/>
    <w:multiLevelType w:val="hybridMultilevel"/>
    <w:tmpl w:val="7DC0B33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D4B96"/>
    <w:multiLevelType w:val="hybridMultilevel"/>
    <w:tmpl w:val="190C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C1F73"/>
    <w:multiLevelType w:val="hybridMultilevel"/>
    <w:tmpl w:val="79A4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02CC0"/>
    <w:multiLevelType w:val="hybridMultilevel"/>
    <w:tmpl w:val="E5C6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D3EEF"/>
    <w:multiLevelType w:val="hybridMultilevel"/>
    <w:tmpl w:val="5436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8661A"/>
    <w:multiLevelType w:val="hybridMultilevel"/>
    <w:tmpl w:val="77A2E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923958"/>
    <w:multiLevelType w:val="hybridMultilevel"/>
    <w:tmpl w:val="DB26D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0D2589"/>
    <w:multiLevelType w:val="hybridMultilevel"/>
    <w:tmpl w:val="5D7C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F56B5"/>
    <w:multiLevelType w:val="hybridMultilevel"/>
    <w:tmpl w:val="5010E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4466B9"/>
    <w:multiLevelType w:val="hybridMultilevel"/>
    <w:tmpl w:val="A1C0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F371E"/>
    <w:multiLevelType w:val="hybridMultilevel"/>
    <w:tmpl w:val="1180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40F5D"/>
    <w:multiLevelType w:val="hybridMultilevel"/>
    <w:tmpl w:val="208AB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D831A3"/>
    <w:multiLevelType w:val="hybridMultilevel"/>
    <w:tmpl w:val="C818C5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A15713"/>
    <w:multiLevelType w:val="hybridMultilevel"/>
    <w:tmpl w:val="911C5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9C2A9F"/>
    <w:multiLevelType w:val="hybridMultilevel"/>
    <w:tmpl w:val="A9EC3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A0CE5"/>
    <w:multiLevelType w:val="hybridMultilevel"/>
    <w:tmpl w:val="DB9C7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13269"/>
    <w:multiLevelType w:val="hybridMultilevel"/>
    <w:tmpl w:val="478E7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D77672"/>
    <w:multiLevelType w:val="hybridMultilevel"/>
    <w:tmpl w:val="6976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7357B"/>
    <w:multiLevelType w:val="hybridMultilevel"/>
    <w:tmpl w:val="DD30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3393B"/>
    <w:multiLevelType w:val="hybridMultilevel"/>
    <w:tmpl w:val="864A2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2B4C25"/>
    <w:multiLevelType w:val="hybridMultilevel"/>
    <w:tmpl w:val="FC4A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70517"/>
    <w:multiLevelType w:val="hybridMultilevel"/>
    <w:tmpl w:val="D10E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97D3A"/>
    <w:multiLevelType w:val="hybridMultilevel"/>
    <w:tmpl w:val="E1E83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A0786C"/>
    <w:multiLevelType w:val="hybridMultilevel"/>
    <w:tmpl w:val="31E8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7027D"/>
    <w:multiLevelType w:val="hybridMultilevel"/>
    <w:tmpl w:val="308A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787D1D"/>
    <w:multiLevelType w:val="multilevel"/>
    <w:tmpl w:val="E1B22BDA"/>
    <w:lvl w:ilvl="0">
      <w:start w:val="1"/>
      <w:numFmt w:val="decimal"/>
      <w:pStyle w:val="CouncilHeading"/>
      <w:lvlText w:val="%1"/>
      <w:lvlJc w:val="left"/>
      <w:pPr>
        <w:tabs>
          <w:tab w:val="num" w:pos="786"/>
        </w:tabs>
        <w:ind w:left="786" w:hanging="360"/>
      </w:pPr>
      <w:rPr>
        <w:rFonts w:hint="default"/>
      </w:rPr>
    </w:lvl>
    <w:lvl w:ilvl="1">
      <w:start w:val="1"/>
      <w:numFmt w:val="decimal"/>
      <w:pStyle w:val="Counciltextnumbered"/>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3" w15:restartNumberingAfterBreak="0">
    <w:nsid w:val="70E71B02"/>
    <w:multiLevelType w:val="hybridMultilevel"/>
    <w:tmpl w:val="9D80A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DF108D"/>
    <w:multiLevelType w:val="hybridMultilevel"/>
    <w:tmpl w:val="C818C5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7D31B1"/>
    <w:multiLevelType w:val="hybridMultilevel"/>
    <w:tmpl w:val="045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16BEC"/>
    <w:multiLevelType w:val="hybridMultilevel"/>
    <w:tmpl w:val="1F7E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A05264"/>
    <w:multiLevelType w:val="hybridMultilevel"/>
    <w:tmpl w:val="2056D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D61A45"/>
    <w:multiLevelType w:val="hybridMultilevel"/>
    <w:tmpl w:val="42E48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D020F6"/>
    <w:multiLevelType w:val="hybridMultilevel"/>
    <w:tmpl w:val="7156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852597">
    <w:abstractNumId w:val="32"/>
  </w:num>
  <w:num w:numId="2" w16cid:durableId="2108496253">
    <w:abstractNumId w:val="1"/>
  </w:num>
  <w:num w:numId="3" w16cid:durableId="673193988">
    <w:abstractNumId w:val="4"/>
  </w:num>
  <w:num w:numId="4" w16cid:durableId="492840099">
    <w:abstractNumId w:val="3"/>
  </w:num>
  <w:num w:numId="5" w16cid:durableId="1016344381">
    <w:abstractNumId w:val="13"/>
  </w:num>
  <w:num w:numId="6" w16cid:durableId="527065386">
    <w:abstractNumId w:val="22"/>
  </w:num>
  <w:num w:numId="7" w16cid:durableId="1805345944">
    <w:abstractNumId w:val="38"/>
  </w:num>
  <w:num w:numId="8" w16cid:durableId="618532904">
    <w:abstractNumId w:val="2"/>
  </w:num>
  <w:num w:numId="9" w16cid:durableId="99187907">
    <w:abstractNumId w:val="8"/>
  </w:num>
  <w:num w:numId="10" w16cid:durableId="627205417">
    <w:abstractNumId w:val="29"/>
  </w:num>
  <w:num w:numId="11" w16cid:durableId="1604411300">
    <w:abstractNumId w:val="7"/>
  </w:num>
  <w:num w:numId="12" w16cid:durableId="139272257">
    <w:abstractNumId w:val="21"/>
  </w:num>
  <w:num w:numId="13" w16cid:durableId="284308542">
    <w:abstractNumId w:val="36"/>
  </w:num>
  <w:num w:numId="14" w16cid:durableId="1692758685">
    <w:abstractNumId w:val="5"/>
  </w:num>
  <w:num w:numId="15" w16cid:durableId="1035161480">
    <w:abstractNumId w:val="18"/>
  </w:num>
  <w:num w:numId="16" w16cid:durableId="383989705">
    <w:abstractNumId w:val="15"/>
  </w:num>
  <w:num w:numId="17" w16cid:durableId="1742828594">
    <w:abstractNumId w:val="20"/>
  </w:num>
  <w:num w:numId="18" w16cid:durableId="1561478842">
    <w:abstractNumId w:val="37"/>
  </w:num>
  <w:num w:numId="19" w16cid:durableId="368720447">
    <w:abstractNumId w:val="19"/>
  </w:num>
  <w:num w:numId="20" w16cid:durableId="796219546">
    <w:abstractNumId w:val="26"/>
  </w:num>
  <w:num w:numId="21" w16cid:durableId="1651396980">
    <w:abstractNumId w:val="34"/>
  </w:num>
  <w:num w:numId="22" w16cid:durableId="623584886">
    <w:abstractNumId w:val="12"/>
  </w:num>
  <w:num w:numId="23" w16cid:durableId="425808149">
    <w:abstractNumId w:val="23"/>
  </w:num>
  <w:num w:numId="24" w16cid:durableId="780999559">
    <w:abstractNumId w:val="33"/>
  </w:num>
  <w:num w:numId="25" w16cid:durableId="970020485">
    <w:abstractNumId w:val="17"/>
  </w:num>
  <w:num w:numId="26" w16cid:durableId="2098939839">
    <w:abstractNumId w:val="9"/>
  </w:num>
  <w:num w:numId="27" w16cid:durableId="947661236">
    <w:abstractNumId w:val="6"/>
  </w:num>
  <w:num w:numId="28" w16cid:durableId="710305861">
    <w:abstractNumId w:val="25"/>
  </w:num>
  <w:num w:numId="29" w16cid:durableId="2109347785">
    <w:abstractNumId w:val="31"/>
  </w:num>
  <w:num w:numId="30" w16cid:durableId="85079288">
    <w:abstractNumId w:val="16"/>
  </w:num>
  <w:num w:numId="31" w16cid:durableId="1169491048">
    <w:abstractNumId w:val="10"/>
  </w:num>
  <w:num w:numId="32" w16cid:durableId="444157183">
    <w:abstractNumId w:val="30"/>
  </w:num>
  <w:num w:numId="33" w16cid:durableId="1941721717">
    <w:abstractNumId w:val="27"/>
  </w:num>
  <w:num w:numId="34" w16cid:durableId="1085885379">
    <w:abstractNumId w:val="24"/>
  </w:num>
  <w:num w:numId="35" w16cid:durableId="784538323">
    <w:abstractNumId w:val="28"/>
  </w:num>
  <w:num w:numId="36" w16cid:durableId="893732356">
    <w:abstractNumId w:val="14"/>
  </w:num>
  <w:num w:numId="37" w16cid:durableId="1648318436">
    <w:abstractNumId w:val="39"/>
  </w:num>
  <w:num w:numId="38" w16cid:durableId="504170153">
    <w:abstractNumId w:val="11"/>
  </w:num>
  <w:num w:numId="39" w16cid:durableId="711150996">
    <w:abstractNumId w:val="35"/>
  </w:num>
  <w:num w:numId="40" w16cid:durableId="160349561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9E"/>
    <w:rsid w:val="0000196D"/>
    <w:rsid w:val="00003194"/>
    <w:rsid w:val="00004446"/>
    <w:rsid w:val="0000639B"/>
    <w:rsid w:val="0001034C"/>
    <w:rsid w:val="00011B4E"/>
    <w:rsid w:val="00013C77"/>
    <w:rsid w:val="00017D87"/>
    <w:rsid w:val="00020922"/>
    <w:rsid w:val="00023CA6"/>
    <w:rsid w:val="000250F7"/>
    <w:rsid w:val="0002510A"/>
    <w:rsid w:val="000327D4"/>
    <w:rsid w:val="00041500"/>
    <w:rsid w:val="00041696"/>
    <w:rsid w:val="00042922"/>
    <w:rsid w:val="00045E7E"/>
    <w:rsid w:val="00053AAC"/>
    <w:rsid w:val="00064C3D"/>
    <w:rsid w:val="00065D0C"/>
    <w:rsid w:val="00067C1E"/>
    <w:rsid w:val="0007028C"/>
    <w:rsid w:val="00070346"/>
    <w:rsid w:val="000741ED"/>
    <w:rsid w:val="0007548C"/>
    <w:rsid w:val="0007799B"/>
    <w:rsid w:val="00080F04"/>
    <w:rsid w:val="00091126"/>
    <w:rsid w:val="00092C42"/>
    <w:rsid w:val="00095F12"/>
    <w:rsid w:val="000A740E"/>
    <w:rsid w:val="000A7EFF"/>
    <w:rsid w:val="000B2A85"/>
    <w:rsid w:val="000B3E2B"/>
    <w:rsid w:val="000B3EEB"/>
    <w:rsid w:val="000B5A56"/>
    <w:rsid w:val="000C5C4D"/>
    <w:rsid w:val="000C6246"/>
    <w:rsid w:val="000C6CAE"/>
    <w:rsid w:val="000D13A5"/>
    <w:rsid w:val="000D1D4C"/>
    <w:rsid w:val="000D5C7B"/>
    <w:rsid w:val="000D7E3D"/>
    <w:rsid w:val="000E4031"/>
    <w:rsid w:val="000F0C70"/>
    <w:rsid w:val="000F18F7"/>
    <w:rsid w:val="000F216F"/>
    <w:rsid w:val="000F2C23"/>
    <w:rsid w:val="000F3ECC"/>
    <w:rsid w:val="000F63CF"/>
    <w:rsid w:val="00105550"/>
    <w:rsid w:val="00107288"/>
    <w:rsid w:val="00107AFD"/>
    <w:rsid w:val="00115C12"/>
    <w:rsid w:val="00117AE1"/>
    <w:rsid w:val="00120147"/>
    <w:rsid w:val="00120A6F"/>
    <w:rsid w:val="00120C18"/>
    <w:rsid w:val="00122666"/>
    <w:rsid w:val="0012756E"/>
    <w:rsid w:val="00133487"/>
    <w:rsid w:val="0013493A"/>
    <w:rsid w:val="00143094"/>
    <w:rsid w:val="00156A2C"/>
    <w:rsid w:val="00157CCC"/>
    <w:rsid w:val="0016102E"/>
    <w:rsid w:val="001620A4"/>
    <w:rsid w:val="001727D7"/>
    <w:rsid w:val="00173574"/>
    <w:rsid w:val="00173FCA"/>
    <w:rsid w:val="0017518A"/>
    <w:rsid w:val="0017542E"/>
    <w:rsid w:val="00176653"/>
    <w:rsid w:val="00176BEA"/>
    <w:rsid w:val="0018559D"/>
    <w:rsid w:val="00190275"/>
    <w:rsid w:val="001925F2"/>
    <w:rsid w:val="001930FA"/>
    <w:rsid w:val="00195581"/>
    <w:rsid w:val="001A08D0"/>
    <w:rsid w:val="001A0B1B"/>
    <w:rsid w:val="001A1DEB"/>
    <w:rsid w:val="001A28B5"/>
    <w:rsid w:val="001A3EA6"/>
    <w:rsid w:val="001A5A86"/>
    <w:rsid w:val="001A7C0A"/>
    <w:rsid w:val="001A7CA6"/>
    <w:rsid w:val="001B0C1E"/>
    <w:rsid w:val="001B5652"/>
    <w:rsid w:val="001C1184"/>
    <w:rsid w:val="001C1E87"/>
    <w:rsid w:val="001C37F6"/>
    <w:rsid w:val="001C50BD"/>
    <w:rsid w:val="001D0E6D"/>
    <w:rsid w:val="001D183E"/>
    <w:rsid w:val="001D5CBD"/>
    <w:rsid w:val="001D7559"/>
    <w:rsid w:val="001E227C"/>
    <w:rsid w:val="001E55E9"/>
    <w:rsid w:val="001E60B8"/>
    <w:rsid w:val="001F1A35"/>
    <w:rsid w:val="001F255B"/>
    <w:rsid w:val="0020085C"/>
    <w:rsid w:val="00202CD0"/>
    <w:rsid w:val="00206DC3"/>
    <w:rsid w:val="0021122D"/>
    <w:rsid w:val="002117FE"/>
    <w:rsid w:val="0021498F"/>
    <w:rsid w:val="00214AF3"/>
    <w:rsid w:val="00215AF3"/>
    <w:rsid w:val="00216C1D"/>
    <w:rsid w:val="00216D96"/>
    <w:rsid w:val="00220F4C"/>
    <w:rsid w:val="002227AF"/>
    <w:rsid w:val="00230130"/>
    <w:rsid w:val="0023212B"/>
    <w:rsid w:val="002347D1"/>
    <w:rsid w:val="002350C9"/>
    <w:rsid w:val="00236AC2"/>
    <w:rsid w:val="00237029"/>
    <w:rsid w:val="00241949"/>
    <w:rsid w:val="00242F77"/>
    <w:rsid w:val="0024306E"/>
    <w:rsid w:val="0024496D"/>
    <w:rsid w:val="00245209"/>
    <w:rsid w:val="00245452"/>
    <w:rsid w:val="00245941"/>
    <w:rsid w:val="002524AB"/>
    <w:rsid w:val="00256E4A"/>
    <w:rsid w:val="00262E9A"/>
    <w:rsid w:val="00265026"/>
    <w:rsid w:val="00266B78"/>
    <w:rsid w:val="00275B8E"/>
    <w:rsid w:val="002769E3"/>
    <w:rsid w:val="00277B87"/>
    <w:rsid w:val="0028109D"/>
    <w:rsid w:val="00282EF6"/>
    <w:rsid w:val="0028324D"/>
    <w:rsid w:val="00284EC0"/>
    <w:rsid w:val="00285752"/>
    <w:rsid w:val="0029103E"/>
    <w:rsid w:val="00291DDE"/>
    <w:rsid w:val="002922E3"/>
    <w:rsid w:val="0029492B"/>
    <w:rsid w:val="002971CE"/>
    <w:rsid w:val="00297D82"/>
    <w:rsid w:val="002A153D"/>
    <w:rsid w:val="002A2B5E"/>
    <w:rsid w:val="002A70BA"/>
    <w:rsid w:val="002A7E5C"/>
    <w:rsid w:val="002B5AF7"/>
    <w:rsid w:val="002B79E8"/>
    <w:rsid w:val="002C120D"/>
    <w:rsid w:val="002C163A"/>
    <w:rsid w:val="002C1A2E"/>
    <w:rsid w:val="002C25FF"/>
    <w:rsid w:val="002C2A5A"/>
    <w:rsid w:val="002C34AB"/>
    <w:rsid w:val="002C4ED5"/>
    <w:rsid w:val="002D0D13"/>
    <w:rsid w:val="002D4769"/>
    <w:rsid w:val="002D5399"/>
    <w:rsid w:val="002D69DB"/>
    <w:rsid w:val="002D702E"/>
    <w:rsid w:val="002D7998"/>
    <w:rsid w:val="002E4AC5"/>
    <w:rsid w:val="002E6972"/>
    <w:rsid w:val="002F0C7D"/>
    <w:rsid w:val="002F1294"/>
    <w:rsid w:val="002F2A99"/>
    <w:rsid w:val="002F7264"/>
    <w:rsid w:val="002F7C59"/>
    <w:rsid w:val="00301090"/>
    <w:rsid w:val="00302904"/>
    <w:rsid w:val="0030384F"/>
    <w:rsid w:val="0030440B"/>
    <w:rsid w:val="003047C3"/>
    <w:rsid w:val="00306BEF"/>
    <w:rsid w:val="0030743A"/>
    <w:rsid w:val="0030781C"/>
    <w:rsid w:val="00307CC3"/>
    <w:rsid w:val="0031439A"/>
    <w:rsid w:val="00315410"/>
    <w:rsid w:val="00315B0C"/>
    <w:rsid w:val="00316220"/>
    <w:rsid w:val="003166CB"/>
    <w:rsid w:val="003168EB"/>
    <w:rsid w:val="0032057E"/>
    <w:rsid w:val="003236C3"/>
    <w:rsid w:val="00324F01"/>
    <w:rsid w:val="00326D00"/>
    <w:rsid w:val="003307A2"/>
    <w:rsid w:val="003345C4"/>
    <w:rsid w:val="00335A2C"/>
    <w:rsid w:val="00336106"/>
    <w:rsid w:val="00337149"/>
    <w:rsid w:val="003413B8"/>
    <w:rsid w:val="00342DCF"/>
    <w:rsid w:val="00345516"/>
    <w:rsid w:val="00346F6A"/>
    <w:rsid w:val="003524E1"/>
    <w:rsid w:val="00352EE7"/>
    <w:rsid w:val="00355F73"/>
    <w:rsid w:val="003641A6"/>
    <w:rsid w:val="00365263"/>
    <w:rsid w:val="00373BC0"/>
    <w:rsid w:val="003752E5"/>
    <w:rsid w:val="003758DB"/>
    <w:rsid w:val="0037655F"/>
    <w:rsid w:val="00380AE5"/>
    <w:rsid w:val="00380E01"/>
    <w:rsid w:val="00383482"/>
    <w:rsid w:val="00387B85"/>
    <w:rsid w:val="00396E9B"/>
    <w:rsid w:val="003A01E4"/>
    <w:rsid w:val="003A39A0"/>
    <w:rsid w:val="003A3DF4"/>
    <w:rsid w:val="003B0D96"/>
    <w:rsid w:val="003B1E58"/>
    <w:rsid w:val="003B20B8"/>
    <w:rsid w:val="003B259B"/>
    <w:rsid w:val="003B338A"/>
    <w:rsid w:val="003B456D"/>
    <w:rsid w:val="003C4A41"/>
    <w:rsid w:val="003C7D15"/>
    <w:rsid w:val="003D03A9"/>
    <w:rsid w:val="003E62A5"/>
    <w:rsid w:val="003F1053"/>
    <w:rsid w:val="003F1EB8"/>
    <w:rsid w:val="003F254A"/>
    <w:rsid w:val="003F6221"/>
    <w:rsid w:val="003F68C9"/>
    <w:rsid w:val="004004B6"/>
    <w:rsid w:val="00400FFF"/>
    <w:rsid w:val="00405A07"/>
    <w:rsid w:val="00405A43"/>
    <w:rsid w:val="00406E33"/>
    <w:rsid w:val="00410675"/>
    <w:rsid w:val="0041538B"/>
    <w:rsid w:val="0041559F"/>
    <w:rsid w:val="00415D6C"/>
    <w:rsid w:val="0042380E"/>
    <w:rsid w:val="004301E2"/>
    <w:rsid w:val="00430559"/>
    <w:rsid w:val="004327E3"/>
    <w:rsid w:val="00437848"/>
    <w:rsid w:val="004444CD"/>
    <w:rsid w:val="00445F4D"/>
    <w:rsid w:val="00446C59"/>
    <w:rsid w:val="00460510"/>
    <w:rsid w:val="00460838"/>
    <w:rsid w:val="00462301"/>
    <w:rsid w:val="004628F5"/>
    <w:rsid w:val="00463490"/>
    <w:rsid w:val="00473962"/>
    <w:rsid w:val="00474CE3"/>
    <w:rsid w:val="004762E5"/>
    <w:rsid w:val="00480280"/>
    <w:rsid w:val="00482647"/>
    <w:rsid w:val="004829D3"/>
    <w:rsid w:val="004851E2"/>
    <w:rsid w:val="00487760"/>
    <w:rsid w:val="00490C13"/>
    <w:rsid w:val="0049214B"/>
    <w:rsid w:val="00493177"/>
    <w:rsid w:val="00493C92"/>
    <w:rsid w:val="0049492D"/>
    <w:rsid w:val="00496462"/>
    <w:rsid w:val="00497772"/>
    <w:rsid w:val="004A173E"/>
    <w:rsid w:val="004A337C"/>
    <w:rsid w:val="004B7ADA"/>
    <w:rsid w:val="004C5722"/>
    <w:rsid w:val="004D335F"/>
    <w:rsid w:val="004D47CC"/>
    <w:rsid w:val="004D560E"/>
    <w:rsid w:val="004D5854"/>
    <w:rsid w:val="004D6AFE"/>
    <w:rsid w:val="004E13FC"/>
    <w:rsid w:val="004E1D43"/>
    <w:rsid w:val="004E1FCA"/>
    <w:rsid w:val="004E295D"/>
    <w:rsid w:val="004E30FE"/>
    <w:rsid w:val="004E4D8B"/>
    <w:rsid w:val="004E57E9"/>
    <w:rsid w:val="004E7757"/>
    <w:rsid w:val="004E7F3D"/>
    <w:rsid w:val="004F12F9"/>
    <w:rsid w:val="004F3C99"/>
    <w:rsid w:val="004F4CE9"/>
    <w:rsid w:val="004F70EC"/>
    <w:rsid w:val="004F792E"/>
    <w:rsid w:val="00501B35"/>
    <w:rsid w:val="005022B4"/>
    <w:rsid w:val="00503457"/>
    <w:rsid w:val="0051021B"/>
    <w:rsid w:val="00513237"/>
    <w:rsid w:val="00513FCE"/>
    <w:rsid w:val="00514590"/>
    <w:rsid w:val="00517023"/>
    <w:rsid w:val="00520A17"/>
    <w:rsid w:val="00521573"/>
    <w:rsid w:val="00522AA1"/>
    <w:rsid w:val="00525654"/>
    <w:rsid w:val="00537519"/>
    <w:rsid w:val="00537795"/>
    <w:rsid w:val="00543F33"/>
    <w:rsid w:val="00543FB9"/>
    <w:rsid w:val="0054465B"/>
    <w:rsid w:val="00544EF2"/>
    <w:rsid w:val="00545C2D"/>
    <w:rsid w:val="00546546"/>
    <w:rsid w:val="00550466"/>
    <w:rsid w:val="0055116C"/>
    <w:rsid w:val="00553636"/>
    <w:rsid w:val="005601CE"/>
    <w:rsid w:val="005608BE"/>
    <w:rsid w:val="00560FC7"/>
    <w:rsid w:val="0056207A"/>
    <w:rsid w:val="005637E5"/>
    <w:rsid w:val="00564DF6"/>
    <w:rsid w:val="00565BEA"/>
    <w:rsid w:val="005667D2"/>
    <w:rsid w:val="0057015F"/>
    <w:rsid w:val="005711A4"/>
    <w:rsid w:val="005714CD"/>
    <w:rsid w:val="00572417"/>
    <w:rsid w:val="0057561B"/>
    <w:rsid w:val="005805E7"/>
    <w:rsid w:val="00583874"/>
    <w:rsid w:val="00591208"/>
    <w:rsid w:val="00593846"/>
    <w:rsid w:val="0059527C"/>
    <w:rsid w:val="005966E3"/>
    <w:rsid w:val="00597577"/>
    <w:rsid w:val="005A3609"/>
    <w:rsid w:val="005A37D5"/>
    <w:rsid w:val="005A4943"/>
    <w:rsid w:val="005A5E56"/>
    <w:rsid w:val="005B08D4"/>
    <w:rsid w:val="005B1A9B"/>
    <w:rsid w:val="005B38DC"/>
    <w:rsid w:val="005B5860"/>
    <w:rsid w:val="005B624E"/>
    <w:rsid w:val="005B6BE8"/>
    <w:rsid w:val="005B7598"/>
    <w:rsid w:val="005C1100"/>
    <w:rsid w:val="005C3F91"/>
    <w:rsid w:val="005D7B19"/>
    <w:rsid w:val="005D7E99"/>
    <w:rsid w:val="005E086C"/>
    <w:rsid w:val="005E11F3"/>
    <w:rsid w:val="005E246C"/>
    <w:rsid w:val="005E492A"/>
    <w:rsid w:val="005E6B70"/>
    <w:rsid w:val="005F0741"/>
    <w:rsid w:val="005F2C73"/>
    <w:rsid w:val="005F35AE"/>
    <w:rsid w:val="005F4227"/>
    <w:rsid w:val="005F5046"/>
    <w:rsid w:val="005F61FF"/>
    <w:rsid w:val="00600FEE"/>
    <w:rsid w:val="00603060"/>
    <w:rsid w:val="00604406"/>
    <w:rsid w:val="00607578"/>
    <w:rsid w:val="00610347"/>
    <w:rsid w:val="00612845"/>
    <w:rsid w:val="00614EEA"/>
    <w:rsid w:val="00616AA5"/>
    <w:rsid w:val="00616DFF"/>
    <w:rsid w:val="00616E8C"/>
    <w:rsid w:val="0062291A"/>
    <w:rsid w:val="00623C11"/>
    <w:rsid w:val="00624112"/>
    <w:rsid w:val="00624774"/>
    <w:rsid w:val="00627A30"/>
    <w:rsid w:val="00635E6F"/>
    <w:rsid w:val="00637946"/>
    <w:rsid w:val="0064048E"/>
    <w:rsid w:val="006445B8"/>
    <w:rsid w:val="006529DE"/>
    <w:rsid w:val="00654DE6"/>
    <w:rsid w:val="00654E31"/>
    <w:rsid w:val="00656064"/>
    <w:rsid w:val="00656F6C"/>
    <w:rsid w:val="00657AF1"/>
    <w:rsid w:val="00660B41"/>
    <w:rsid w:val="00660CE3"/>
    <w:rsid w:val="0066119A"/>
    <w:rsid w:val="00661EFB"/>
    <w:rsid w:val="0066268A"/>
    <w:rsid w:val="006626BD"/>
    <w:rsid w:val="00667727"/>
    <w:rsid w:val="006732C5"/>
    <w:rsid w:val="0067523F"/>
    <w:rsid w:val="00675C1E"/>
    <w:rsid w:val="006803E3"/>
    <w:rsid w:val="006810E6"/>
    <w:rsid w:val="0068508E"/>
    <w:rsid w:val="0069030D"/>
    <w:rsid w:val="00690AAC"/>
    <w:rsid w:val="006919F7"/>
    <w:rsid w:val="00693CCC"/>
    <w:rsid w:val="00695EB9"/>
    <w:rsid w:val="0069728C"/>
    <w:rsid w:val="006A03B2"/>
    <w:rsid w:val="006A2C3A"/>
    <w:rsid w:val="006A57E3"/>
    <w:rsid w:val="006A58EA"/>
    <w:rsid w:val="006B0BD2"/>
    <w:rsid w:val="006B247A"/>
    <w:rsid w:val="006B261A"/>
    <w:rsid w:val="006B2CAB"/>
    <w:rsid w:val="006B7306"/>
    <w:rsid w:val="006C212A"/>
    <w:rsid w:val="006C2EE0"/>
    <w:rsid w:val="006C35E9"/>
    <w:rsid w:val="006C653D"/>
    <w:rsid w:val="006C7B59"/>
    <w:rsid w:val="006D07A4"/>
    <w:rsid w:val="006D07EA"/>
    <w:rsid w:val="006D40B1"/>
    <w:rsid w:val="006D7295"/>
    <w:rsid w:val="006E003D"/>
    <w:rsid w:val="006E0144"/>
    <w:rsid w:val="006E55C5"/>
    <w:rsid w:val="006F206A"/>
    <w:rsid w:val="006F3424"/>
    <w:rsid w:val="006F74B2"/>
    <w:rsid w:val="007021D2"/>
    <w:rsid w:val="00702885"/>
    <w:rsid w:val="00702DDD"/>
    <w:rsid w:val="00706915"/>
    <w:rsid w:val="00706FCF"/>
    <w:rsid w:val="0071051D"/>
    <w:rsid w:val="007142B8"/>
    <w:rsid w:val="00714538"/>
    <w:rsid w:val="00721A08"/>
    <w:rsid w:val="00721B39"/>
    <w:rsid w:val="007220E0"/>
    <w:rsid w:val="00724575"/>
    <w:rsid w:val="0072529B"/>
    <w:rsid w:val="00725965"/>
    <w:rsid w:val="0072619C"/>
    <w:rsid w:val="00732046"/>
    <w:rsid w:val="00733334"/>
    <w:rsid w:val="00733994"/>
    <w:rsid w:val="00736DCF"/>
    <w:rsid w:val="0074238E"/>
    <w:rsid w:val="00756F9F"/>
    <w:rsid w:val="00757A6C"/>
    <w:rsid w:val="0076376D"/>
    <w:rsid w:val="00763C36"/>
    <w:rsid w:val="00765A22"/>
    <w:rsid w:val="007703C8"/>
    <w:rsid w:val="00780EE5"/>
    <w:rsid w:val="00787D73"/>
    <w:rsid w:val="00793B77"/>
    <w:rsid w:val="00795B3E"/>
    <w:rsid w:val="007960E8"/>
    <w:rsid w:val="007B16A6"/>
    <w:rsid w:val="007B580C"/>
    <w:rsid w:val="007B6D82"/>
    <w:rsid w:val="007C0E4A"/>
    <w:rsid w:val="007C3420"/>
    <w:rsid w:val="007C39E1"/>
    <w:rsid w:val="007D4A09"/>
    <w:rsid w:val="007E0A57"/>
    <w:rsid w:val="007E0C1E"/>
    <w:rsid w:val="007E4245"/>
    <w:rsid w:val="007E5CAB"/>
    <w:rsid w:val="007E6CAB"/>
    <w:rsid w:val="007F1943"/>
    <w:rsid w:val="007F462A"/>
    <w:rsid w:val="007F5094"/>
    <w:rsid w:val="007F7874"/>
    <w:rsid w:val="00801189"/>
    <w:rsid w:val="008014BA"/>
    <w:rsid w:val="0080663D"/>
    <w:rsid w:val="00811EAE"/>
    <w:rsid w:val="00813B2C"/>
    <w:rsid w:val="00816BC4"/>
    <w:rsid w:val="00816FAE"/>
    <w:rsid w:val="00817F4B"/>
    <w:rsid w:val="008223BE"/>
    <w:rsid w:val="008241D6"/>
    <w:rsid w:val="0083139F"/>
    <w:rsid w:val="008315B4"/>
    <w:rsid w:val="0083404A"/>
    <w:rsid w:val="008362B7"/>
    <w:rsid w:val="0083669D"/>
    <w:rsid w:val="00837096"/>
    <w:rsid w:val="00845C77"/>
    <w:rsid w:val="00846983"/>
    <w:rsid w:val="00846C7F"/>
    <w:rsid w:val="0085162C"/>
    <w:rsid w:val="00852227"/>
    <w:rsid w:val="00854CA3"/>
    <w:rsid w:val="008555A0"/>
    <w:rsid w:val="0086271C"/>
    <w:rsid w:val="00863F04"/>
    <w:rsid w:val="008655F1"/>
    <w:rsid w:val="00870D0E"/>
    <w:rsid w:val="008759DD"/>
    <w:rsid w:val="00880612"/>
    <w:rsid w:val="0088073B"/>
    <w:rsid w:val="00880C59"/>
    <w:rsid w:val="00881774"/>
    <w:rsid w:val="0088283B"/>
    <w:rsid w:val="00886496"/>
    <w:rsid w:val="008A077F"/>
    <w:rsid w:val="008A19F0"/>
    <w:rsid w:val="008A22B2"/>
    <w:rsid w:val="008A2B96"/>
    <w:rsid w:val="008B7C4D"/>
    <w:rsid w:val="008C08F0"/>
    <w:rsid w:val="008C45D8"/>
    <w:rsid w:val="008D0089"/>
    <w:rsid w:val="008D1449"/>
    <w:rsid w:val="008E03EE"/>
    <w:rsid w:val="008E2CCB"/>
    <w:rsid w:val="008E761F"/>
    <w:rsid w:val="008F1178"/>
    <w:rsid w:val="008F4345"/>
    <w:rsid w:val="00915E04"/>
    <w:rsid w:val="00921AAA"/>
    <w:rsid w:val="00922422"/>
    <w:rsid w:val="009224A3"/>
    <w:rsid w:val="00922E70"/>
    <w:rsid w:val="009318FA"/>
    <w:rsid w:val="00935449"/>
    <w:rsid w:val="00940531"/>
    <w:rsid w:val="00943524"/>
    <w:rsid w:val="009461A9"/>
    <w:rsid w:val="009465D4"/>
    <w:rsid w:val="00947B31"/>
    <w:rsid w:val="00950047"/>
    <w:rsid w:val="0095157E"/>
    <w:rsid w:val="00951931"/>
    <w:rsid w:val="0095261C"/>
    <w:rsid w:val="009548A6"/>
    <w:rsid w:val="00955B68"/>
    <w:rsid w:val="0096035C"/>
    <w:rsid w:val="00962AD9"/>
    <w:rsid w:val="00971033"/>
    <w:rsid w:val="00971609"/>
    <w:rsid w:val="00977F9E"/>
    <w:rsid w:val="009815F2"/>
    <w:rsid w:val="009835A6"/>
    <w:rsid w:val="009920AD"/>
    <w:rsid w:val="00992C53"/>
    <w:rsid w:val="00997A11"/>
    <w:rsid w:val="009A293E"/>
    <w:rsid w:val="009A488C"/>
    <w:rsid w:val="009A4B18"/>
    <w:rsid w:val="009A5DE7"/>
    <w:rsid w:val="009A6F85"/>
    <w:rsid w:val="009B00C9"/>
    <w:rsid w:val="009B4000"/>
    <w:rsid w:val="009B5885"/>
    <w:rsid w:val="009B60E8"/>
    <w:rsid w:val="009B66B7"/>
    <w:rsid w:val="009B7B2D"/>
    <w:rsid w:val="009C12C1"/>
    <w:rsid w:val="009C30F3"/>
    <w:rsid w:val="009C4813"/>
    <w:rsid w:val="009C5922"/>
    <w:rsid w:val="009C5A73"/>
    <w:rsid w:val="009C6BBB"/>
    <w:rsid w:val="009C7AAD"/>
    <w:rsid w:val="009D19C7"/>
    <w:rsid w:val="009D2DB1"/>
    <w:rsid w:val="009E334B"/>
    <w:rsid w:val="009E3967"/>
    <w:rsid w:val="009E6348"/>
    <w:rsid w:val="009E649B"/>
    <w:rsid w:val="009F3F03"/>
    <w:rsid w:val="009F6909"/>
    <w:rsid w:val="00A022EC"/>
    <w:rsid w:val="00A0330B"/>
    <w:rsid w:val="00A046E1"/>
    <w:rsid w:val="00A0747A"/>
    <w:rsid w:val="00A07AF2"/>
    <w:rsid w:val="00A10B01"/>
    <w:rsid w:val="00A165F8"/>
    <w:rsid w:val="00A1762B"/>
    <w:rsid w:val="00A24D57"/>
    <w:rsid w:val="00A257BB"/>
    <w:rsid w:val="00A261BF"/>
    <w:rsid w:val="00A27F4A"/>
    <w:rsid w:val="00A34458"/>
    <w:rsid w:val="00A34C87"/>
    <w:rsid w:val="00A35084"/>
    <w:rsid w:val="00A350EC"/>
    <w:rsid w:val="00A37A2A"/>
    <w:rsid w:val="00A41BE1"/>
    <w:rsid w:val="00A4350E"/>
    <w:rsid w:val="00A43B9A"/>
    <w:rsid w:val="00A46807"/>
    <w:rsid w:val="00A521AB"/>
    <w:rsid w:val="00A52F6A"/>
    <w:rsid w:val="00A64615"/>
    <w:rsid w:val="00A669C3"/>
    <w:rsid w:val="00A67C46"/>
    <w:rsid w:val="00A71697"/>
    <w:rsid w:val="00A74394"/>
    <w:rsid w:val="00A762E3"/>
    <w:rsid w:val="00A80244"/>
    <w:rsid w:val="00A86B22"/>
    <w:rsid w:val="00A86EA9"/>
    <w:rsid w:val="00A931C0"/>
    <w:rsid w:val="00A94720"/>
    <w:rsid w:val="00A9499F"/>
    <w:rsid w:val="00AA55F6"/>
    <w:rsid w:val="00AA64F7"/>
    <w:rsid w:val="00AA706A"/>
    <w:rsid w:val="00AA7836"/>
    <w:rsid w:val="00AA7906"/>
    <w:rsid w:val="00AB10A4"/>
    <w:rsid w:val="00AB2188"/>
    <w:rsid w:val="00AB377C"/>
    <w:rsid w:val="00AB3942"/>
    <w:rsid w:val="00AB3A86"/>
    <w:rsid w:val="00AB4DEC"/>
    <w:rsid w:val="00AC1BAC"/>
    <w:rsid w:val="00AC241F"/>
    <w:rsid w:val="00AC4AA6"/>
    <w:rsid w:val="00AC5313"/>
    <w:rsid w:val="00AD241A"/>
    <w:rsid w:val="00AD372D"/>
    <w:rsid w:val="00AD3E36"/>
    <w:rsid w:val="00AD65DC"/>
    <w:rsid w:val="00AE4367"/>
    <w:rsid w:val="00AE618A"/>
    <w:rsid w:val="00AF1A6A"/>
    <w:rsid w:val="00AF49A0"/>
    <w:rsid w:val="00AF5640"/>
    <w:rsid w:val="00B0242B"/>
    <w:rsid w:val="00B06379"/>
    <w:rsid w:val="00B13A8D"/>
    <w:rsid w:val="00B236F1"/>
    <w:rsid w:val="00B264E6"/>
    <w:rsid w:val="00B31AC3"/>
    <w:rsid w:val="00B3457B"/>
    <w:rsid w:val="00B35A99"/>
    <w:rsid w:val="00B36A3E"/>
    <w:rsid w:val="00B41AD4"/>
    <w:rsid w:val="00B44A93"/>
    <w:rsid w:val="00B461FC"/>
    <w:rsid w:val="00B503BE"/>
    <w:rsid w:val="00B510A4"/>
    <w:rsid w:val="00B519BF"/>
    <w:rsid w:val="00B54A78"/>
    <w:rsid w:val="00B55F82"/>
    <w:rsid w:val="00B66A6F"/>
    <w:rsid w:val="00B66E6E"/>
    <w:rsid w:val="00B70326"/>
    <w:rsid w:val="00B74EFC"/>
    <w:rsid w:val="00B7545F"/>
    <w:rsid w:val="00B82A1B"/>
    <w:rsid w:val="00B836CF"/>
    <w:rsid w:val="00B86DDC"/>
    <w:rsid w:val="00B91B35"/>
    <w:rsid w:val="00B91F2D"/>
    <w:rsid w:val="00B951DB"/>
    <w:rsid w:val="00B961D4"/>
    <w:rsid w:val="00B9791E"/>
    <w:rsid w:val="00BA0725"/>
    <w:rsid w:val="00BA266C"/>
    <w:rsid w:val="00BA2C72"/>
    <w:rsid w:val="00BA5C98"/>
    <w:rsid w:val="00BA6066"/>
    <w:rsid w:val="00BB0E64"/>
    <w:rsid w:val="00BB6C22"/>
    <w:rsid w:val="00BB76B8"/>
    <w:rsid w:val="00BC275C"/>
    <w:rsid w:val="00BC491A"/>
    <w:rsid w:val="00BC5CE3"/>
    <w:rsid w:val="00BD1D13"/>
    <w:rsid w:val="00BD1D22"/>
    <w:rsid w:val="00BD394F"/>
    <w:rsid w:val="00BD4ED1"/>
    <w:rsid w:val="00BD7FDA"/>
    <w:rsid w:val="00BE07E1"/>
    <w:rsid w:val="00BE5BA8"/>
    <w:rsid w:val="00BF0D7A"/>
    <w:rsid w:val="00BF2393"/>
    <w:rsid w:val="00BF5C7A"/>
    <w:rsid w:val="00BF6AAB"/>
    <w:rsid w:val="00BF7135"/>
    <w:rsid w:val="00BF718E"/>
    <w:rsid w:val="00BF7696"/>
    <w:rsid w:val="00C016C1"/>
    <w:rsid w:val="00C0495E"/>
    <w:rsid w:val="00C06F43"/>
    <w:rsid w:val="00C1136F"/>
    <w:rsid w:val="00C141D9"/>
    <w:rsid w:val="00C1508F"/>
    <w:rsid w:val="00C17562"/>
    <w:rsid w:val="00C17918"/>
    <w:rsid w:val="00C17D61"/>
    <w:rsid w:val="00C21033"/>
    <w:rsid w:val="00C368C7"/>
    <w:rsid w:val="00C37184"/>
    <w:rsid w:val="00C40560"/>
    <w:rsid w:val="00C42237"/>
    <w:rsid w:val="00C44337"/>
    <w:rsid w:val="00C4537E"/>
    <w:rsid w:val="00C475EA"/>
    <w:rsid w:val="00C504CD"/>
    <w:rsid w:val="00C526DB"/>
    <w:rsid w:val="00C568B4"/>
    <w:rsid w:val="00C61719"/>
    <w:rsid w:val="00C61E10"/>
    <w:rsid w:val="00C63CB4"/>
    <w:rsid w:val="00C643F3"/>
    <w:rsid w:val="00C65735"/>
    <w:rsid w:val="00C67C31"/>
    <w:rsid w:val="00C724B3"/>
    <w:rsid w:val="00C73C9E"/>
    <w:rsid w:val="00C751AA"/>
    <w:rsid w:val="00C770D8"/>
    <w:rsid w:val="00C80499"/>
    <w:rsid w:val="00C82134"/>
    <w:rsid w:val="00C8400F"/>
    <w:rsid w:val="00C96564"/>
    <w:rsid w:val="00CA3A90"/>
    <w:rsid w:val="00CA6208"/>
    <w:rsid w:val="00CB00F7"/>
    <w:rsid w:val="00CB2179"/>
    <w:rsid w:val="00CC4FA2"/>
    <w:rsid w:val="00CC67F0"/>
    <w:rsid w:val="00CC6C6B"/>
    <w:rsid w:val="00CC7C2C"/>
    <w:rsid w:val="00CD09FF"/>
    <w:rsid w:val="00CD6643"/>
    <w:rsid w:val="00CE5B6B"/>
    <w:rsid w:val="00CF0AB5"/>
    <w:rsid w:val="00CF1B62"/>
    <w:rsid w:val="00CF4909"/>
    <w:rsid w:val="00CF4C16"/>
    <w:rsid w:val="00CF5571"/>
    <w:rsid w:val="00CF58EA"/>
    <w:rsid w:val="00CF6367"/>
    <w:rsid w:val="00CF78E4"/>
    <w:rsid w:val="00D004E8"/>
    <w:rsid w:val="00D00FD9"/>
    <w:rsid w:val="00D014A3"/>
    <w:rsid w:val="00D04D18"/>
    <w:rsid w:val="00D11A55"/>
    <w:rsid w:val="00D135EA"/>
    <w:rsid w:val="00D16A1E"/>
    <w:rsid w:val="00D17D39"/>
    <w:rsid w:val="00D26F9A"/>
    <w:rsid w:val="00D276D3"/>
    <w:rsid w:val="00D3332B"/>
    <w:rsid w:val="00D36138"/>
    <w:rsid w:val="00D37AC2"/>
    <w:rsid w:val="00D42875"/>
    <w:rsid w:val="00D42E0C"/>
    <w:rsid w:val="00D43F41"/>
    <w:rsid w:val="00D44348"/>
    <w:rsid w:val="00D503D7"/>
    <w:rsid w:val="00D50C33"/>
    <w:rsid w:val="00D51F35"/>
    <w:rsid w:val="00D5270D"/>
    <w:rsid w:val="00D52B2F"/>
    <w:rsid w:val="00D54961"/>
    <w:rsid w:val="00D55EED"/>
    <w:rsid w:val="00D57633"/>
    <w:rsid w:val="00D57A68"/>
    <w:rsid w:val="00D64D36"/>
    <w:rsid w:val="00D67E02"/>
    <w:rsid w:val="00D715C2"/>
    <w:rsid w:val="00D726F0"/>
    <w:rsid w:val="00D72F7F"/>
    <w:rsid w:val="00D73620"/>
    <w:rsid w:val="00D74390"/>
    <w:rsid w:val="00D74CEB"/>
    <w:rsid w:val="00D75447"/>
    <w:rsid w:val="00D8157F"/>
    <w:rsid w:val="00D82C68"/>
    <w:rsid w:val="00D8394C"/>
    <w:rsid w:val="00D86AB2"/>
    <w:rsid w:val="00D86D7C"/>
    <w:rsid w:val="00D91E80"/>
    <w:rsid w:val="00D91ED6"/>
    <w:rsid w:val="00D9545B"/>
    <w:rsid w:val="00DA0EC8"/>
    <w:rsid w:val="00DA3084"/>
    <w:rsid w:val="00DA5D15"/>
    <w:rsid w:val="00DA7850"/>
    <w:rsid w:val="00DB1368"/>
    <w:rsid w:val="00DB2D60"/>
    <w:rsid w:val="00DB366D"/>
    <w:rsid w:val="00DB78D2"/>
    <w:rsid w:val="00DB7DE0"/>
    <w:rsid w:val="00DC1151"/>
    <w:rsid w:val="00DC1AAE"/>
    <w:rsid w:val="00DC2F7B"/>
    <w:rsid w:val="00DC3672"/>
    <w:rsid w:val="00DC36E2"/>
    <w:rsid w:val="00DC6CA4"/>
    <w:rsid w:val="00DC6E2A"/>
    <w:rsid w:val="00DC72BF"/>
    <w:rsid w:val="00DD1836"/>
    <w:rsid w:val="00DE07FF"/>
    <w:rsid w:val="00DF0190"/>
    <w:rsid w:val="00DF65ED"/>
    <w:rsid w:val="00DF6CDD"/>
    <w:rsid w:val="00E00FD6"/>
    <w:rsid w:val="00E04883"/>
    <w:rsid w:val="00E06C63"/>
    <w:rsid w:val="00E0741F"/>
    <w:rsid w:val="00E07C25"/>
    <w:rsid w:val="00E1273F"/>
    <w:rsid w:val="00E16D6C"/>
    <w:rsid w:val="00E173F0"/>
    <w:rsid w:val="00E23EBA"/>
    <w:rsid w:val="00E26D93"/>
    <w:rsid w:val="00E30311"/>
    <w:rsid w:val="00E30CFA"/>
    <w:rsid w:val="00E30D7A"/>
    <w:rsid w:val="00E329B9"/>
    <w:rsid w:val="00E33DB7"/>
    <w:rsid w:val="00E34B8F"/>
    <w:rsid w:val="00E41BA2"/>
    <w:rsid w:val="00E42C20"/>
    <w:rsid w:val="00E439C4"/>
    <w:rsid w:val="00E47157"/>
    <w:rsid w:val="00E513B2"/>
    <w:rsid w:val="00E54363"/>
    <w:rsid w:val="00E54FD9"/>
    <w:rsid w:val="00E566C1"/>
    <w:rsid w:val="00E57F8C"/>
    <w:rsid w:val="00E635F7"/>
    <w:rsid w:val="00E64B05"/>
    <w:rsid w:val="00E674D5"/>
    <w:rsid w:val="00E678AE"/>
    <w:rsid w:val="00E72336"/>
    <w:rsid w:val="00E727D3"/>
    <w:rsid w:val="00E72885"/>
    <w:rsid w:val="00E72EA5"/>
    <w:rsid w:val="00E7445E"/>
    <w:rsid w:val="00E756CE"/>
    <w:rsid w:val="00E75C22"/>
    <w:rsid w:val="00E8476F"/>
    <w:rsid w:val="00E85007"/>
    <w:rsid w:val="00E87DC8"/>
    <w:rsid w:val="00E918B2"/>
    <w:rsid w:val="00E92380"/>
    <w:rsid w:val="00E95868"/>
    <w:rsid w:val="00EA532C"/>
    <w:rsid w:val="00EB358D"/>
    <w:rsid w:val="00EB4CFD"/>
    <w:rsid w:val="00EB55ED"/>
    <w:rsid w:val="00EB5625"/>
    <w:rsid w:val="00EC0E44"/>
    <w:rsid w:val="00EC144B"/>
    <w:rsid w:val="00EC1D48"/>
    <w:rsid w:val="00EC79C7"/>
    <w:rsid w:val="00ED2B73"/>
    <w:rsid w:val="00ED2E62"/>
    <w:rsid w:val="00ED4A37"/>
    <w:rsid w:val="00ED5D97"/>
    <w:rsid w:val="00EE1AA2"/>
    <w:rsid w:val="00EE2455"/>
    <w:rsid w:val="00EE6862"/>
    <w:rsid w:val="00EE6945"/>
    <w:rsid w:val="00EF0D7E"/>
    <w:rsid w:val="00EF1057"/>
    <w:rsid w:val="00EF4D25"/>
    <w:rsid w:val="00EF5EA1"/>
    <w:rsid w:val="00F00368"/>
    <w:rsid w:val="00F03EBC"/>
    <w:rsid w:val="00F05040"/>
    <w:rsid w:val="00F05BF7"/>
    <w:rsid w:val="00F1274C"/>
    <w:rsid w:val="00F15313"/>
    <w:rsid w:val="00F212A4"/>
    <w:rsid w:val="00F248C1"/>
    <w:rsid w:val="00F27056"/>
    <w:rsid w:val="00F27A16"/>
    <w:rsid w:val="00F27CAA"/>
    <w:rsid w:val="00F3729D"/>
    <w:rsid w:val="00F407DA"/>
    <w:rsid w:val="00F40BC0"/>
    <w:rsid w:val="00F43C19"/>
    <w:rsid w:val="00F44A79"/>
    <w:rsid w:val="00F44E45"/>
    <w:rsid w:val="00F45932"/>
    <w:rsid w:val="00F4711E"/>
    <w:rsid w:val="00F47B2C"/>
    <w:rsid w:val="00F52294"/>
    <w:rsid w:val="00F53A6A"/>
    <w:rsid w:val="00F548CF"/>
    <w:rsid w:val="00F5490A"/>
    <w:rsid w:val="00F554D5"/>
    <w:rsid w:val="00F560CF"/>
    <w:rsid w:val="00F63AE1"/>
    <w:rsid w:val="00F64849"/>
    <w:rsid w:val="00F658D4"/>
    <w:rsid w:val="00F749CF"/>
    <w:rsid w:val="00F765C5"/>
    <w:rsid w:val="00F81237"/>
    <w:rsid w:val="00F823AE"/>
    <w:rsid w:val="00F843C4"/>
    <w:rsid w:val="00F85FBC"/>
    <w:rsid w:val="00F90337"/>
    <w:rsid w:val="00F9157F"/>
    <w:rsid w:val="00F9525B"/>
    <w:rsid w:val="00F95F0D"/>
    <w:rsid w:val="00F97337"/>
    <w:rsid w:val="00FA15B9"/>
    <w:rsid w:val="00FA2E7A"/>
    <w:rsid w:val="00FA3C84"/>
    <w:rsid w:val="00FB18CE"/>
    <w:rsid w:val="00FB21EE"/>
    <w:rsid w:val="00FB430E"/>
    <w:rsid w:val="00FB5CE8"/>
    <w:rsid w:val="00FC0932"/>
    <w:rsid w:val="00FC13E1"/>
    <w:rsid w:val="00FC2D02"/>
    <w:rsid w:val="00FC355D"/>
    <w:rsid w:val="00FC6455"/>
    <w:rsid w:val="00FC79CF"/>
    <w:rsid w:val="00FD354D"/>
    <w:rsid w:val="00FD3C0B"/>
    <w:rsid w:val="00FD4EC7"/>
    <w:rsid w:val="00FD4F2D"/>
    <w:rsid w:val="00FD667E"/>
    <w:rsid w:val="00FE1061"/>
    <w:rsid w:val="00FF3D8A"/>
    <w:rsid w:val="00FF4435"/>
    <w:rsid w:val="00FF6DD5"/>
    <w:rsid w:val="00FF7C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68C88F1"/>
  <w15:docId w15:val="{41B2FAE4-6F80-4991-BD24-A7A0AE9D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294"/>
    <w:rPr>
      <w:sz w:val="24"/>
      <w:szCs w:val="24"/>
      <w:lang w:eastAsia="en-US"/>
    </w:rPr>
  </w:style>
  <w:style w:type="paragraph" w:styleId="Heading1">
    <w:name w:val="heading 1"/>
    <w:basedOn w:val="Normal"/>
    <w:next w:val="Normal"/>
    <w:link w:val="Heading1Char"/>
    <w:uiPriority w:val="9"/>
    <w:qFormat/>
    <w:rsid w:val="005E6B70"/>
    <w:pPr>
      <w:keepNext/>
      <w:keepLines/>
      <w:spacing w:before="480" w:line="276" w:lineRule="auto"/>
      <w:outlineLvl w:val="0"/>
    </w:pPr>
    <w:rPr>
      <w:rFonts w:ascii="Cambria" w:hAnsi="Cambria"/>
      <w:b/>
      <w:bCs/>
      <w:color w:val="365F91"/>
      <w:sz w:val="28"/>
      <w:szCs w:val="28"/>
      <w:lang w:eastAsia="en-GB"/>
    </w:rPr>
  </w:style>
  <w:style w:type="paragraph" w:styleId="Heading3">
    <w:name w:val="heading 3"/>
    <w:basedOn w:val="Normal"/>
    <w:next w:val="Normal"/>
    <w:link w:val="Heading3Char"/>
    <w:semiHidden/>
    <w:unhideWhenUsed/>
    <w:qFormat/>
    <w:rsid w:val="00045E7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0B5A56"/>
    <w:rPr>
      <w:color w:val="800080"/>
      <w:u w:val="single"/>
    </w:rPr>
  </w:style>
  <w:style w:type="paragraph" w:styleId="NormalWeb">
    <w:name w:val="Normal (Web)"/>
    <w:basedOn w:val="Normal"/>
    <w:uiPriority w:val="99"/>
    <w:rsid w:val="004D560E"/>
    <w:pPr>
      <w:spacing w:before="100" w:beforeAutospacing="1" w:after="100" w:afterAutospacing="1"/>
    </w:pPr>
    <w:rPr>
      <w:rFonts w:ascii="Arial Unicode MS" w:eastAsia="Arial Unicode MS" w:hAnsi="Arial Unicode MS" w:cs="Arial Unicode MS"/>
    </w:rPr>
  </w:style>
  <w:style w:type="character" w:styleId="Hyperlink">
    <w:name w:val="Hyperlink"/>
    <w:rsid w:val="004D560E"/>
    <w:rPr>
      <w:color w:val="0000FF"/>
      <w:u w:val="single"/>
    </w:rPr>
  </w:style>
  <w:style w:type="paragraph" w:styleId="BalloonText">
    <w:name w:val="Balloon Text"/>
    <w:basedOn w:val="Normal"/>
    <w:link w:val="BalloonTextChar"/>
    <w:rsid w:val="004D560E"/>
    <w:rPr>
      <w:rFonts w:ascii="Tahoma" w:hAnsi="Tahoma" w:cs="Tahoma"/>
      <w:sz w:val="16"/>
      <w:szCs w:val="16"/>
    </w:rPr>
  </w:style>
  <w:style w:type="character" w:customStyle="1" w:styleId="BalloonTextChar">
    <w:name w:val="Balloon Text Char"/>
    <w:link w:val="BalloonText"/>
    <w:rsid w:val="004D560E"/>
    <w:rPr>
      <w:rFonts w:ascii="Tahoma" w:hAnsi="Tahoma" w:cs="Tahoma"/>
      <w:sz w:val="16"/>
      <w:szCs w:val="16"/>
      <w:lang w:eastAsia="en-US"/>
    </w:rPr>
  </w:style>
  <w:style w:type="paragraph" w:styleId="Header">
    <w:name w:val="header"/>
    <w:basedOn w:val="Normal"/>
    <w:link w:val="HeaderChar"/>
    <w:rsid w:val="00C724B3"/>
    <w:pPr>
      <w:tabs>
        <w:tab w:val="center" w:pos="4513"/>
        <w:tab w:val="right" w:pos="9026"/>
      </w:tabs>
    </w:pPr>
  </w:style>
  <w:style w:type="character" w:customStyle="1" w:styleId="HeaderChar">
    <w:name w:val="Header Char"/>
    <w:link w:val="Header"/>
    <w:rsid w:val="00C724B3"/>
    <w:rPr>
      <w:sz w:val="24"/>
      <w:szCs w:val="24"/>
      <w:lang w:eastAsia="en-US"/>
    </w:rPr>
  </w:style>
  <w:style w:type="paragraph" w:styleId="Footer">
    <w:name w:val="footer"/>
    <w:basedOn w:val="Normal"/>
    <w:link w:val="FooterChar"/>
    <w:uiPriority w:val="99"/>
    <w:rsid w:val="00C724B3"/>
    <w:pPr>
      <w:tabs>
        <w:tab w:val="center" w:pos="4513"/>
        <w:tab w:val="right" w:pos="9026"/>
      </w:tabs>
    </w:pPr>
  </w:style>
  <w:style w:type="character" w:customStyle="1" w:styleId="FooterChar">
    <w:name w:val="Footer Char"/>
    <w:link w:val="Footer"/>
    <w:uiPriority w:val="99"/>
    <w:rsid w:val="00C724B3"/>
    <w:rPr>
      <w:sz w:val="24"/>
      <w:szCs w:val="24"/>
      <w:lang w:eastAsia="en-US"/>
    </w:rPr>
  </w:style>
  <w:style w:type="paragraph" w:customStyle="1" w:styleId="Counciltextnumbered">
    <w:name w:val="Council text numbered"/>
    <w:basedOn w:val="Normal"/>
    <w:link w:val="CounciltextnumberedChar"/>
    <w:rsid w:val="00045E7E"/>
    <w:pPr>
      <w:numPr>
        <w:ilvl w:val="1"/>
        <w:numId w:val="1"/>
      </w:numPr>
      <w:overflowPunct w:val="0"/>
      <w:autoSpaceDE w:val="0"/>
      <w:autoSpaceDN w:val="0"/>
      <w:adjustRightInd w:val="0"/>
      <w:spacing w:after="120"/>
      <w:textAlignment w:val="baseline"/>
    </w:pPr>
    <w:rPr>
      <w:rFonts w:cs="Arial"/>
    </w:rPr>
  </w:style>
  <w:style w:type="paragraph" w:customStyle="1" w:styleId="CouncilHeading">
    <w:name w:val="Council Heading"/>
    <w:basedOn w:val="Heading3"/>
    <w:next w:val="Counciltextnumbered"/>
    <w:rsid w:val="00045E7E"/>
    <w:pPr>
      <w:keepNext w:val="0"/>
      <w:numPr>
        <w:numId w:val="1"/>
      </w:numPr>
      <w:tabs>
        <w:tab w:val="clear" w:pos="786"/>
        <w:tab w:val="num" w:pos="567"/>
        <w:tab w:val="num" w:pos="1080"/>
      </w:tabs>
      <w:overflowPunct w:val="0"/>
      <w:autoSpaceDE w:val="0"/>
      <w:autoSpaceDN w:val="0"/>
      <w:adjustRightInd w:val="0"/>
      <w:spacing w:before="0" w:after="240"/>
      <w:ind w:left="1080" w:hanging="567"/>
      <w:textAlignment w:val="baseline"/>
    </w:pPr>
    <w:rPr>
      <w:rFonts w:ascii="Arial Bold" w:hAnsi="Arial Bold"/>
      <w:bCs w:val="0"/>
      <w:sz w:val="24"/>
      <w:szCs w:val="24"/>
    </w:rPr>
  </w:style>
  <w:style w:type="character" w:customStyle="1" w:styleId="CounciltextnumberedChar">
    <w:name w:val="Council text numbered Char"/>
    <w:link w:val="Counciltextnumbered"/>
    <w:rsid w:val="00045E7E"/>
    <w:rPr>
      <w:rFonts w:cs="Arial"/>
      <w:sz w:val="24"/>
      <w:szCs w:val="24"/>
      <w:lang w:eastAsia="en-US"/>
    </w:rPr>
  </w:style>
  <w:style w:type="paragraph" w:styleId="FootnoteText">
    <w:name w:val="footnote text"/>
    <w:basedOn w:val="Normal"/>
    <w:link w:val="FootnoteTextChar"/>
    <w:uiPriority w:val="99"/>
    <w:rsid w:val="00045E7E"/>
    <w:pPr>
      <w:overflowPunct w:val="0"/>
      <w:autoSpaceDE w:val="0"/>
      <w:autoSpaceDN w:val="0"/>
      <w:adjustRightInd w:val="0"/>
      <w:jc w:val="both"/>
      <w:textAlignment w:val="baseline"/>
    </w:pPr>
    <w:rPr>
      <w:sz w:val="20"/>
      <w:szCs w:val="20"/>
    </w:rPr>
  </w:style>
  <w:style w:type="character" w:customStyle="1" w:styleId="FootnoteTextChar">
    <w:name w:val="Footnote Text Char"/>
    <w:link w:val="FootnoteText"/>
    <w:uiPriority w:val="99"/>
    <w:rsid w:val="00045E7E"/>
    <w:rPr>
      <w:lang w:eastAsia="en-US"/>
    </w:rPr>
  </w:style>
  <w:style w:type="character" w:styleId="FootnoteReference">
    <w:name w:val="footnote reference"/>
    <w:uiPriority w:val="99"/>
    <w:rsid w:val="00045E7E"/>
    <w:rPr>
      <w:vertAlign w:val="superscript"/>
    </w:rPr>
  </w:style>
  <w:style w:type="character" w:customStyle="1" w:styleId="Heading3Char">
    <w:name w:val="Heading 3 Char"/>
    <w:link w:val="Heading3"/>
    <w:semiHidden/>
    <w:rsid w:val="00045E7E"/>
    <w:rPr>
      <w:rFonts w:ascii="Cambria" w:eastAsia="Times New Roman" w:hAnsi="Cambria" w:cs="Times New Roman"/>
      <w:b/>
      <w:bCs/>
      <w:sz w:val="26"/>
      <w:szCs w:val="26"/>
      <w:lang w:eastAsia="en-US"/>
    </w:rPr>
  </w:style>
  <w:style w:type="paragraph" w:styleId="ListParagraph">
    <w:name w:val="List Paragraph"/>
    <w:aliases w:val="Title 2,List Paragraph1"/>
    <w:basedOn w:val="Normal"/>
    <w:link w:val="ListParagraphChar"/>
    <w:uiPriority w:val="34"/>
    <w:qFormat/>
    <w:rsid w:val="00D726F0"/>
    <w:pPr>
      <w:ind w:left="720"/>
    </w:pPr>
  </w:style>
  <w:style w:type="character" w:customStyle="1" w:styleId="ListParagraphChar">
    <w:name w:val="List Paragraph Char"/>
    <w:aliases w:val="Title 2 Char,List Paragraph1 Char"/>
    <w:link w:val="ListParagraph"/>
    <w:uiPriority w:val="34"/>
    <w:rsid w:val="003752E5"/>
    <w:rPr>
      <w:sz w:val="24"/>
      <w:szCs w:val="24"/>
      <w:lang w:eastAsia="en-US"/>
    </w:rPr>
  </w:style>
  <w:style w:type="paragraph" w:customStyle="1" w:styleId="Default">
    <w:name w:val="Default"/>
    <w:rsid w:val="00E30311"/>
    <w:pPr>
      <w:autoSpaceDE w:val="0"/>
      <w:autoSpaceDN w:val="0"/>
      <w:adjustRightInd w:val="0"/>
    </w:pPr>
    <w:rPr>
      <w:rFonts w:cs="Arial"/>
      <w:color w:val="000000"/>
      <w:sz w:val="24"/>
      <w:szCs w:val="24"/>
    </w:rPr>
  </w:style>
  <w:style w:type="table" w:styleId="TableGrid">
    <w:name w:val="Table Grid"/>
    <w:basedOn w:val="TableNormal"/>
    <w:uiPriority w:val="39"/>
    <w:rsid w:val="00F648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212A4"/>
    <w:rPr>
      <w:sz w:val="16"/>
      <w:szCs w:val="16"/>
    </w:rPr>
  </w:style>
  <w:style w:type="paragraph" w:styleId="CommentText">
    <w:name w:val="annotation text"/>
    <w:basedOn w:val="Normal"/>
    <w:link w:val="CommentTextChar"/>
    <w:rsid w:val="00F212A4"/>
    <w:rPr>
      <w:sz w:val="20"/>
      <w:szCs w:val="20"/>
    </w:rPr>
  </w:style>
  <w:style w:type="character" w:customStyle="1" w:styleId="CommentTextChar">
    <w:name w:val="Comment Text Char"/>
    <w:link w:val="CommentText"/>
    <w:rsid w:val="00F212A4"/>
    <w:rPr>
      <w:lang w:eastAsia="en-US"/>
    </w:rPr>
  </w:style>
  <w:style w:type="paragraph" w:styleId="CommentSubject">
    <w:name w:val="annotation subject"/>
    <w:basedOn w:val="CommentText"/>
    <w:next w:val="CommentText"/>
    <w:link w:val="CommentSubjectChar"/>
    <w:rsid w:val="00F212A4"/>
    <w:rPr>
      <w:b/>
      <w:bCs/>
    </w:rPr>
  </w:style>
  <w:style w:type="character" w:customStyle="1" w:styleId="CommentSubjectChar">
    <w:name w:val="Comment Subject Char"/>
    <w:link w:val="CommentSubject"/>
    <w:rsid w:val="00F212A4"/>
    <w:rPr>
      <w:b/>
      <w:bCs/>
      <w:lang w:eastAsia="en-US"/>
    </w:rPr>
  </w:style>
  <w:style w:type="paragraph" w:styleId="NoSpacing">
    <w:name w:val="No Spacing"/>
    <w:link w:val="NoSpacingChar"/>
    <w:uiPriority w:val="1"/>
    <w:qFormat/>
    <w:rsid w:val="003F1053"/>
    <w:rPr>
      <w:rFonts w:ascii="Calibri" w:hAnsi="Calibri"/>
      <w:sz w:val="22"/>
      <w:szCs w:val="22"/>
    </w:rPr>
  </w:style>
  <w:style w:type="character" w:customStyle="1" w:styleId="NoSpacingChar">
    <w:name w:val="No Spacing Char"/>
    <w:link w:val="NoSpacing"/>
    <w:uiPriority w:val="1"/>
    <w:rsid w:val="003F1053"/>
    <w:rPr>
      <w:rFonts w:ascii="Calibri" w:hAnsi="Calibri"/>
      <w:sz w:val="22"/>
      <w:szCs w:val="22"/>
    </w:rPr>
  </w:style>
  <w:style w:type="character" w:customStyle="1" w:styleId="Heading1Char">
    <w:name w:val="Heading 1 Char"/>
    <w:link w:val="Heading1"/>
    <w:uiPriority w:val="9"/>
    <w:rsid w:val="005E6B70"/>
    <w:rPr>
      <w:rFonts w:ascii="Cambria" w:hAnsi="Cambria"/>
      <w:b/>
      <w:bCs/>
      <w:color w:val="365F91"/>
      <w:sz w:val="28"/>
      <w:szCs w:val="28"/>
    </w:rPr>
  </w:style>
  <w:style w:type="character" w:styleId="Strong">
    <w:name w:val="Strong"/>
    <w:uiPriority w:val="22"/>
    <w:qFormat/>
    <w:rsid w:val="005E6B70"/>
    <w:rPr>
      <w:b/>
      <w:bCs/>
    </w:rPr>
  </w:style>
  <w:style w:type="paragraph" w:styleId="Revision">
    <w:name w:val="Revision"/>
    <w:hidden/>
    <w:uiPriority w:val="99"/>
    <w:semiHidden/>
    <w:rsid w:val="00FB21E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8b6f594e-0e0d-4cc9-8cd7-4a65265c69f6">
      <UserInfo>
        <DisplayName>Kathryn Caine (Staff)</DisplayName>
        <AccountId>14</AccountId>
        <AccountType/>
      </UserInfo>
      <UserInfo>
        <DisplayName>Andrew Edwards (Staff)</DisplayName>
        <AccountId>15</AccountId>
        <AccountType/>
      </UserInfo>
    </SharedWithUsers>
    <lcf76f155ced4ddcb4097134ff3c332f xmlns="21dbb8f7-c510-493e-b8b1-9cea31b4c0fd">
      <Terms xmlns="http://schemas.microsoft.com/office/infopath/2007/PartnerControls"/>
    </lcf76f155ced4ddcb4097134ff3c332f>
    <TaxCatchAll xmlns="8b6f594e-0e0d-4cc9-8cd7-4a65265c69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81F9E6855DE24A93C2320D6065F919" ma:contentTypeVersion="16" ma:contentTypeDescription="Create a new document." ma:contentTypeScope="" ma:versionID="5aa7b8e7a72f413b922bb55795e5088b">
  <xsd:schema xmlns:xsd="http://www.w3.org/2001/XMLSchema" xmlns:xs="http://www.w3.org/2001/XMLSchema" xmlns:p="http://schemas.microsoft.com/office/2006/metadata/properties" xmlns:ns2="21dbb8f7-c510-493e-b8b1-9cea31b4c0fd" xmlns:ns3="8b6f594e-0e0d-4cc9-8cd7-4a65265c69f6" targetNamespace="http://schemas.microsoft.com/office/2006/metadata/properties" ma:root="true" ma:fieldsID="be226c4ff9a922cc59da8f23838c1003" ns2:_="" ns3:_="">
    <xsd:import namespace="21dbb8f7-c510-493e-b8b1-9cea31b4c0fd"/>
    <xsd:import namespace="8b6f594e-0e0d-4cc9-8cd7-4a65265c6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b8f7-c510-493e-b8b1-9cea31b4c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f594e-0e0d-4cc9-8cd7-4a65265c6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6bee935-3a93-4991-8bc9-f07069c6b74b}" ma:internalName="TaxCatchAll" ma:showField="CatchAllData" ma:web="8b6f594e-0e0d-4cc9-8cd7-4a65265c6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0365-9F19-4E67-B7FA-41FBF5293CA2}">
  <ds:schemaRefs>
    <ds:schemaRef ds:uri="http://schemas.microsoft.com/office/2006/metadata/properties"/>
    <ds:schemaRef ds:uri="8b6f594e-0e0d-4cc9-8cd7-4a65265c69f6"/>
    <ds:schemaRef ds:uri="21dbb8f7-c510-493e-b8b1-9cea31b4c0fd"/>
    <ds:schemaRef ds:uri="http://schemas.microsoft.com/office/infopath/2007/PartnerControls"/>
  </ds:schemaRefs>
</ds:datastoreItem>
</file>

<file path=customXml/itemProps2.xml><?xml version="1.0" encoding="utf-8"?>
<ds:datastoreItem xmlns:ds="http://schemas.openxmlformats.org/officeDocument/2006/customXml" ds:itemID="{8AFA67D6-7667-4310-90B0-AC57883A00DC}">
  <ds:schemaRefs>
    <ds:schemaRef ds:uri="http://schemas.microsoft.com/sharepoint/v3/contenttype/forms"/>
  </ds:schemaRefs>
</ds:datastoreItem>
</file>

<file path=customXml/itemProps3.xml><?xml version="1.0" encoding="utf-8"?>
<ds:datastoreItem xmlns:ds="http://schemas.openxmlformats.org/officeDocument/2006/customXml" ds:itemID="{45074136-43AC-40E7-9421-E85627BF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b8f7-c510-493e-b8b1-9cea31b4c0fd"/>
    <ds:schemaRef ds:uri="8b6f594e-0e0d-4cc9-8cd7-4a65265c6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9FED4-DDD7-4CA5-9337-7376F639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ewen.brierley</dc:creator>
  <cp:keywords/>
  <cp:lastModifiedBy>Gwenno Gwilym (Staff)</cp:lastModifiedBy>
  <cp:revision>3</cp:revision>
  <cp:lastPrinted>2024-05-09T14:54:00Z</cp:lastPrinted>
  <dcterms:created xsi:type="dcterms:W3CDTF">2024-07-09T14:47:00Z</dcterms:created>
  <dcterms:modified xsi:type="dcterms:W3CDTF">2024-09-20T07:56:00Z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0x010100C081F9E6855DE24A93C2320D6065F919</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